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90E94" w14:textId="1B6A88FD" w:rsidR="00670941" w:rsidRDefault="00670941" w:rsidP="00670941">
      <w:pPr>
        <w:spacing w:after="0" w:line="240" w:lineRule="auto"/>
        <w:jc w:val="center"/>
        <w:rPr>
          <w:rFonts w:ascii="Tahoma" w:eastAsia="Times New Roman" w:hAnsi="Tahoma" w:cs="Tahoma"/>
          <w:b/>
          <w:bCs/>
          <w:color w:val="000000"/>
          <w:sz w:val="40"/>
          <w:szCs w:val="40"/>
          <w:shd w:val="clear" w:color="auto" w:fill="FFFFFF"/>
          <w:lang w:eastAsia="it-IT"/>
        </w:rPr>
      </w:pPr>
      <w:r>
        <w:rPr>
          <w:noProof/>
          <w:lang w:eastAsia="it-IT"/>
        </w:rPr>
        <w:drawing>
          <wp:inline distT="0" distB="0" distL="0" distR="0" wp14:anchorId="4F9D54CB" wp14:editId="61CAD4F9">
            <wp:extent cx="5954395" cy="2162932"/>
            <wp:effectExtent l="0" t="0" r="8255" b="8890"/>
            <wp:docPr id="3" name="Immagine 3" descr="UIL SCUOLA | UIL BERGAMO - SINDACATI BERGA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L SCUOLA | UIL BERGAMO - SINDACATI BERGAM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5680" cy="2167031"/>
                    </a:xfrm>
                    <a:prstGeom prst="rect">
                      <a:avLst/>
                    </a:prstGeom>
                    <a:noFill/>
                    <a:ln>
                      <a:noFill/>
                    </a:ln>
                  </pic:spPr>
                </pic:pic>
              </a:graphicData>
            </a:graphic>
          </wp:inline>
        </w:drawing>
      </w:r>
      <w:r w:rsidRPr="00670941">
        <w:rPr>
          <w:rFonts w:ascii="Tahoma" w:eastAsia="Times New Roman" w:hAnsi="Tahoma" w:cs="Tahoma"/>
          <w:b/>
          <w:bCs/>
          <w:color w:val="000000"/>
          <w:sz w:val="40"/>
          <w:szCs w:val="40"/>
          <w:shd w:val="clear" w:color="auto" w:fill="FFFFFF"/>
          <w:lang w:eastAsia="it-IT"/>
        </w:rPr>
        <w:t>IL DSGA E IL BONUS VALORIZZAZIONE LEGGE 160/2020</w:t>
      </w:r>
    </w:p>
    <w:p w14:paraId="31512181" w14:textId="77777777" w:rsidR="00670941" w:rsidRPr="00670941" w:rsidRDefault="00670941" w:rsidP="00670941">
      <w:pPr>
        <w:spacing w:after="0" w:line="240" w:lineRule="auto"/>
        <w:jc w:val="center"/>
        <w:rPr>
          <w:rFonts w:ascii="Tahoma" w:eastAsia="Times New Roman" w:hAnsi="Tahoma" w:cs="Tahoma"/>
          <w:b/>
          <w:bCs/>
          <w:color w:val="000000"/>
          <w:sz w:val="40"/>
          <w:szCs w:val="40"/>
          <w:shd w:val="clear" w:color="auto" w:fill="FFFFFF"/>
          <w:lang w:eastAsia="it-IT"/>
        </w:rPr>
      </w:pPr>
    </w:p>
    <w:p w14:paraId="107F0E42" w14:textId="77777777" w:rsidR="00011796" w:rsidRPr="00670941" w:rsidRDefault="00670941" w:rsidP="00670941">
      <w:pPr>
        <w:spacing w:after="0" w:line="240" w:lineRule="auto"/>
        <w:jc w:val="center"/>
        <w:rPr>
          <w:rFonts w:ascii="Tahoma" w:eastAsia="Times New Roman" w:hAnsi="Tahoma" w:cs="Tahoma"/>
          <w:b/>
          <w:bCs/>
          <w:color w:val="000000"/>
          <w:sz w:val="40"/>
          <w:szCs w:val="40"/>
          <w:shd w:val="clear" w:color="auto" w:fill="FFFFFF"/>
          <w:lang w:eastAsia="it-IT"/>
        </w:rPr>
      </w:pPr>
      <w:r w:rsidRPr="00670941">
        <w:rPr>
          <w:rFonts w:ascii="Tahoma" w:eastAsia="Times New Roman" w:hAnsi="Tahoma" w:cs="Tahoma"/>
          <w:b/>
          <w:bCs/>
          <w:color w:val="000000"/>
          <w:sz w:val="40"/>
          <w:szCs w:val="40"/>
          <w:shd w:val="clear" w:color="auto" w:fill="FFFFFF"/>
          <w:lang w:eastAsia="it-IT"/>
        </w:rPr>
        <w:t>LA POSIZIONE DELLA UIL SCUOLA DI BERGAMO</w:t>
      </w:r>
    </w:p>
    <w:p w14:paraId="0225322D" w14:textId="77777777" w:rsidR="00011796" w:rsidRDefault="00011796" w:rsidP="0052202A">
      <w:pPr>
        <w:spacing w:after="0" w:line="240" w:lineRule="auto"/>
        <w:rPr>
          <w:rFonts w:ascii="Tahoma" w:eastAsia="Times New Roman" w:hAnsi="Tahoma" w:cs="Tahoma"/>
          <w:bCs/>
          <w:color w:val="000000"/>
          <w:sz w:val="28"/>
          <w:szCs w:val="28"/>
          <w:shd w:val="clear" w:color="auto" w:fill="FFFFFF"/>
          <w:lang w:eastAsia="it-IT"/>
        </w:rPr>
      </w:pPr>
    </w:p>
    <w:p w14:paraId="6802966D" w14:textId="77777777" w:rsidR="00011796" w:rsidRDefault="00011796" w:rsidP="0052202A">
      <w:pPr>
        <w:spacing w:after="0" w:line="240" w:lineRule="auto"/>
        <w:rPr>
          <w:rFonts w:ascii="Tahoma" w:eastAsia="Times New Roman" w:hAnsi="Tahoma" w:cs="Tahoma"/>
          <w:bCs/>
          <w:color w:val="000000"/>
          <w:sz w:val="28"/>
          <w:szCs w:val="28"/>
          <w:shd w:val="clear" w:color="auto" w:fill="FFFFFF"/>
          <w:lang w:eastAsia="it-IT"/>
        </w:rPr>
      </w:pPr>
    </w:p>
    <w:p w14:paraId="4651C8A3" w14:textId="77777777" w:rsidR="00011796" w:rsidRDefault="00011796" w:rsidP="0052202A">
      <w:pPr>
        <w:spacing w:after="0" w:line="240" w:lineRule="auto"/>
        <w:rPr>
          <w:rFonts w:ascii="Tahoma" w:eastAsia="Times New Roman" w:hAnsi="Tahoma" w:cs="Tahoma"/>
          <w:bCs/>
          <w:color w:val="000000"/>
          <w:sz w:val="28"/>
          <w:szCs w:val="28"/>
          <w:shd w:val="clear" w:color="auto" w:fill="FFFFFF"/>
          <w:lang w:eastAsia="it-IT"/>
        </w:rPr>
      </w:pPr>
      <w:r>
        <w:rPr>
          <w:rFonts w:ascii="Tahoma" w:eastAsia="Times New Roman" w:hAnsi="Tahoma" w:cs="Tahoma"/>
          <w:b/>
          <w:bCs/>
          <w:noProof/>
          <w:color w:val="000000"/>
          <w:sz w:val="28"/>
          <w:szCs w:val="28"/>
          <w:lang w:eastAsia="it-IT"/>
        </w:rPr>
        <mc:AlternateContent>
          <mc:Choice Requires="wps">
            <w:drawing>
              <wp:anchor distT="0" distB="0" distL="114300" distR="114300" simplePos="0" relativeHeight="251661312" behindDoc="1" locked="0" layoutInCell="1" allowOverlap="1" wp14:anchorId="3D593D82" wp14:editId="23997108">
                <wp:simplePos x="0" y="0"/>
                <wp:positionH relativeFrom="column">
                  <wp:posOffset>0</wp:posOffset>
                </wp:positionH>
                <wp:positionV relativeFrom="paragraph">
                  <wp:posOffset>-635</wp:posOffset>
                </wp:positionV>
                <wp:extent cx="6229350" cy="819150"/>
                <wp:effectExtent l="0" t="0" r="19050" b="19050"/>
                <wp:wrapNone/>
                <wp:docPr id="2" name="Rettangolo 2"/>
                <wp:cNvGraphicFramePr/>
                <a:graphic xmlns:a="http://schemas.openxmlformats.org/drawingml/2006/main">
                  <a:graphicData uri="http://schemas.microsoft.com/office/word/2010/wordprocessingShape">
                    <wps:wsp>
                      <wps:cNvSpPr/>
                      <wps:spPr>
                        <a:xfrm>
                          <a:off x="0" y="0"/>
                          <a:ext cx="6229350" cy="8191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C6B122" id="Rettangolo 2" o:spid="_x0000_s1026" style="position:absolute;margin-left:0;margin-top:-.05pt;width:490.5pt;height:64.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" fillcolor="#5b9bd5" strokecolor="#41719c" strokeweight="1pt"/>
            </w:pict>
          </mc:Fallback>
        </mc:AlternateContent>
      </w:r>
    </w:p>
    <w:p w14:paraId="4A8AFB6B" w14:textId="77777777" w:rsidR="00011796" w:rsidRPr="00011796" w:rsidRDefault="00011796" w:rsidP="00011796">
      <w:pPr>
        <w:spacing w:after="0" w:line="240" w:lineRule="auto"/>
        <w:rPr>
          <w:rFonts w:ascii="Tahoma" w:eastAsia="Times New Roman" w:hAnsi="Tahoma" w:cs="Tahoma"/>
          <w:b/>
          <w:bCs/>
          <w:color w:val="000000"/>
          <w:sz w:val="28"/>
          <w:szCs w:val="28"/>
          <w:shd w:val="clear" w:color="auto" w:fill="FFFFFF"/>
          <w:lang w:eastAsia="it-IT"/>
        </w:rPr>
      </w:pPr>
      <w:r w:rsidRPr="00011796">
        <w:rPr>
          <w:rFonts w:ascii="Tahoma" w:eastAsia="Times New Roman" w:hAnsi="Tahoma" w:cs="Tahoma"/>
          <w:b/>
          <w:bCs/>
          <w:color w:val="000000"/>
          <w:sz w:val="28"/>
          <w:szCs w:val="28"/>
          <w:shd w:val="clear" w:color="auto" w:fill="FFFFFF"/>
          <w:lang w:eastAsia="it-IT"/>
        </w:rPr>
        <w:t xml:space="preserve">LA POSIZIONE DELLA UIL SCUOLA BERGAMO SUL BONUS VALORIZZAZIONE DSGA </w:t>
      </w:r>
    </w:p>
    <w:p w14:paraId="50DC086B" w14:textId="77777777" w:rsidR="00011796" w:rsidRDefault="00011796" w:rsidP="0052202A">
      <w:pPr>
        <w:spacing w:after="0" w:line="240" w:lineRule="auto"/>
        <w:rPr>
          <w:rFonts w:ascii="Tahoma" w:eastAsia="Times New Roman" w:hAnsi="Tahoma" w:cs="Tahoma"/>
          <w:bCs/>
          <w:color w:val="000000"/>
          <w:sz w:val="28"/>
          <w:szCs w:val="28"/>
          <w:shd w:val="clear" w:color="auto" w:fill="FFFFFF"/>
          <w:lang w:eastAsia="it-IT"/>
        </w:rPr>
      </w:pPr>
    </w:p>
    <w:p w14:paraId="243BD4D4" w14:textId="77777777" w:rsidR="00011796" w:rsidRDefault="00011796" w:rsidP="0052202A">
      <w:pPr>
        <w:spacing w:after="0" w:line="240" w:lineRule="auto"/>
        <w:rPr>
          <w:rFonts w:ascii="Tahoma" w:eastAsia="Times New Roman" w:hAnsi="Tahoma" w:cs="Tahoma"/>
          <w:bCs/>
          <w:color w:val="000000"/>
          <w:sz w:val="28"/>
          <w:szCs w:val="28"/>
          <w:shd w:val="clear" w:color="auto" w:fill="FFFFFF"/>
          <w:lang w:eastAsia="it-IT"/>
        </w:rPr>
      </w:pPr>
    </w:p>
    <w:p w14:paraId="26608855" w14:textId="0573A3BF" w:rsidR="00156397" w:rsidRDefault="0052202A" w:rsidP="00011796">
      <w:pPr>
        <w:spacing w:after="0" w:line="240" w:lineRule="auto"/>
        <w:jc w:val="both"/>
        <w:rPr>
          <w:rFonts w:ascii="Tahoma" w:eastAsia="Times New Roman" w:hAnsi="Tahoma" w:cs="Tahoma"/>
          <w:bCs/>
          <w:color w:val="000000"/>
          <w:sz w:val="28"/>
          <w:szCs w:val="28"/>
          <w:shd w:val="clear" w:color="auto" w:fill="FFFFFF"/>
          <w:lang w:eastAsia="it-IT"/>
        </w:rPr>
      </w:pPr>
      <w:r>
        <w:rPr>
          <w:rFonts w:ascii="Tahoma" w:eastAsia="Times New Roman" w:hAnsi="Tahoma" w:cs="Tahoma"/>
          <w:bCs/>
          <w:color w:val="000000"/>
          <w:sz w:val="28"/>
          <w:szCs w:val="28"/>
          <w:shd w:val="clear" w:color="auto" w:fill="FFFFFF"/>
          <w:lang w:eastAsia="it-IT"/>
        </w:rPr>
        <w:t xml:space="preserve">Secondo </w:t>
      </w:r>
      <w:r w:rsidRPr="0052202A">
        <w:rPr>
          <w:rFonts w:ascii="Tahoma" w:eastAsia="Times New Roman" w:hAnsi="Tahoma" w:cs="Tahoma"/>
          <w:b/>
          <w:bCs/>
          <w:color w:val="000000"/>
          <w:sz w:val="28"/>
          <w:szCs w:val="28"/>
          <w:shd w:val="clear" w:color="auto" w:fill="FFFFFF"/>
          <w:lang w:eastAsia="it-IT"/>
        </w:rPr>
        <w:t>la Segreteria Provinciale della Uil Scuola di Bergamo</w:t>
      </w:r>
      <w:r>
        <w:rPr>
          <w:rFonts w:ascii="Tahoma" w:eastAsia="Times New Roman" w:hAnsi="Tahoma" w:cs="Tahoma"/>
          <w:bCs/>
          <w:color w:val="000000"/>
          <w:sz w:val="28"/>
          <w:szCs w:val="28"/>
          <w:shd w:val="clear" w:color="auto" w:fill="FFFFFF"/>
          <w:lang w:eastAsia="it-IT"/>
        </w:rPr>
        <w:t xml:space="preserve"> le modifiche intervenute con la legge Finanziaria n.160/2019 art.1 comma 249 riferite alle </w:t>
      </w:r>
      <w:proofErr w:type="gramStart"/>
      <w:r>
        <w:rPr>
          <w:rFonts w:ascii="Tahoma" w:eastAsia="Times New Roman" w:hAnsi="Tahoma" w:cs="Tahoma"/>
          <w:bCs/>
          <w:color w:val="000000"/>
          <w:sz w:val="28"/>
          <w:szCs w:val="28"/>
          <w:shd w:val="clear" w:color="auto" w:fill="FFFFFF"/>
          <w:lang w:eastAsia="it-IT"/>
        </w:rPr>
        <w:t>risorse</w:t>
      </w:r>
      <w:r w:rsidR="00E475CB">
        <w:rPr>
          <w:rFonts w:ascii="Tahoma" w:eastAsia="Times New Roman" w:hAnsi="Tahoma" w:cs="Tahoma"/>
          <w:bCs/>
          <w:color w:val="000000"/>
          <w:sz w:val="28"/>
          <w:szCs w:val="28"/>
          <w:shd w:val="clear" w:color="auto" w:fill="FFFFFF"/>
          <w:lang w:eastAsia="it-IT"/>
        </w:rPr>
        <w:t xml:space="preserve"> </w:t>
      </w:r>
      <w:r>
        <w:rPr>
          <w:rFonts w:ascii="Tahoma" w:eastAsia="Times New Roman" w:hAnsi="Tahoma" w:cs="Tahoma"/>
          <w:bCs/>
          <w:color w:val="000000"/>
          <w:sz w:val="28"/>
          <w:szCs w:val="28"/>
          <w:shd w:val="clear" w:color="auto" w:fill="FFFFFF"/>
          <w:lang w:eastAsia="it-IT"/>
        </w:rPr>
        <w:t>”bonus</w:t>
      </w:r>
      <w:proofErr w:type="gramEnd"/>
      <w:r>
        <w:rPr>
          <w:rFonts w:ascii="Tahoma" w:eastAsia="Times New Roman" w:hAnsi="Tahoma" w:cs="Tahoma"/>
          <w:bCs/>
          <w:color w:val="000000"/>
          <w:sz w:val="28"/>
          <w:szCs w:val="28"/>
          <w:shd w:val="clear" w:color="auto" w:fill="FFFFFF"/>
          <w:lang w:eastAsia="it-IT"/>
        </w:rPr>
        <w:t xml:space="preserve"> docenti” hanno sancito il superamento di quanto stabilito dalla L. 107/2015 e contestualmente </w:t>
      </w:r>
      <w:r w:rsidR="00156397">
        <w:rPr>
          <w:rFonts w:ascii="Tahoma" w:eastAsia="Times New Roman" w:hAnsi="Tahoma" w:cs="Tahoma"/>
          <w:bCs/>
          <w:color w:val="000000"/>
          <w:sz w:val="28"/>
          <w:szCs w:val="28"/>
          <w:shd w:val="clear" w:color="auto" w:fill="FFFFFF"/>
          <w:lang w:eastAsia="it-IT"/>
        </w:rPr>
        <w:t>assegnato</w:t>
      </w:r>
      <w:r>
        <w:rPr>
          <w:rFonts w:ascii="Tahoma" w:eastAsia="Times New Roman" w:hAnsi="Tahoma" w:cs="Tahoma"/>
          <w:bCs/>
          <w:color w:val="000000"/>
          <w:sz w:val="28"/>
          <w:szCs w:val="28"/>
          <w:shd w:val="clear" w:color="auto" w:fill="FFFFFF"/>
          <w:lang w:eastAsia="it-IT"/>
        </w:rPr>
        <w:t xml:space="preserve"> la sua chiara attività di </w:t>
      </w:r>
      <w:r w:rsidR="00156397">
        <w:rPr>
          <w:rFonts w:ascii="Tahoma" w:eastAsia="Times New Roman" w:hAnsi="Tahoma" w:cs="Tahoma"/>
          <w:bCs/>
          <w:color w:val="000000"/>
          <w:sz w:val="28"/>
          <w:szCs w:val="28"/>
          <w:shd w:val="clear" w:color="auto" w:fill="FFFFFF"/>
          <w:lang w:eastAsia="it-IT"/>
        </w:rPr>
        <w:t>definizione</w:t>
      </w:r>
      <w:r>
        <w:rPr>
          <w:rFonts w:ascii="Tahoma" w:eastAsia="Times New Roman" w:hAnsi="Tahoma" w:cs="Tahoma"/>
          <w:bCs/>
          <w:color w:val="000000"/>
          <w:sz w:val="28"/>
          <w:szCs w:val="28"/>
          <w:shd w:val="clear" w:color="auto" w:fill="FFFFFF"/>
          <w:lang w:eastAsia="it-IT"/>
        </w:rPr>
        <w:t xml:space="preserve"> in ordine alla </w:t>
      </w:r>
      <w:r w:rsidR="00156397">
        <w:rPr>
          <w:rFonts w:ascii="Tahoma" w:eastAsia="Times New Roman" w:hAnsi="Tahoma" w:cs="Tahoma"/>
          <w:bCs/>
          <w:color w:val="000000"/>
          <w:sz w:val="28"/>
          <w:szCs w:val="28"/>
          <w:shd w:val="clear" w:color="auto" w:fill="FFFFFF"/>
          <w:lang w:eastAsia="it-IT"/>
        </w:rPr>
        <w:t>distribuzione</w:t>
      </w:r>
      <w:r>
        <w:rPr>
          <w:rFonts w:ascii="Tahoma" w:eastAsia="Times New Roman" w:hAnsi="Tahoma" w:cs="Tahoma"/>
          <w:bCs/>
          <w:color w:val="000000"/>
          <w:sz w:val="28"/>
          <w:szCs w:val="28"/>
          <w:shd w:val="clear" w:color="auto" w:fill="FFFFFF"/>
          <w:lang w:eastAsia="it-IT"/>
        </w:rPr>
        <w:t xml:space="preserve"> delle </w:t>
      </w:r>
      <w:r w:rsidR="00156397">
        <w:rPr>
          <w:rFonts w:ascii="Tahoma" w:eastAsia="Times New Roman" w:hAnsi="Tahoma" w:cs="Tahoma"/>
          <w:bCs/>
          <w:color w:val="000000"/>
          <w:sz w:val="28"/>
          <w:szCs w:val="28"/>
          <w:shd w:val="clear" w:color="auto" w:fill="FFFFFF"/>
          <w:lang w:eastAsia="it-IT"/>
        </w:rPr>
        <w:t>risorse</w:t>
      </w:r>
      <w:r>
        <w:rPr>
          <w:rFonts w:ascii="Tahoma" w:eastAsia="Times New Roman" w:hAnsi="Tahoma" w:cs="Tahoma"/>
          <w:bCs/>
          <w:color w:val="000000"/>
          <w:sz w:val="28"/>
          <w:szCs w:val="28"/>
          <w:shd w:val="clear" w:color="auto" w:fill="FFFFFF"/>
          <w:lang w:eastAsia="it-IT"/>
        </w:rPr>
        <w:t xml:space="preserve"> </w:t>
      </w:r>
      <w:r w:rsidR="00011796">
        <w:rPr>
          <w:rFonts w:ascii="Tahoma" w:eastAsia="Times New Roman" w:hAnsi="Tahoma" w:cs="Tahoma"/>
          <w:b/>
          <w:bCs/>
          <w:color w:val="000000"/>
          <w:sz w:val="28"/>
          <w:szCs w:val="28"/>
          <w:shd w:val="clear" w:color="auto" w:fill="FFFFFF"/>
          <w:lang w:eastAsia="it-IT"/>
        </w:rPr>
        <w:t>“</w:t>
      </w:r>
      <w:r w:rsidR="00156397" w:rsidRPr="00156397">
        <w:rPr>
          <w:rFonts w:ascii="Tahoma" w:eastAsia="Times New Roman" w:hAnsi="Tahoma" w:cs="Tahoma"/>
          <w:b/>
          <w:bCs/>
          <w:color w:val="000000"/>
          <w:sz w:val="28"/>
          <w:szCs w:val="28"/>
          <w:shd w:val="clear" w:color="auto" w:fill="FFFFFF"/>
          <w:lang w:eastAsia="it-IT"/>
        </w:rPr>
        <w:t xml:space="preserve">senza ulteriore vincolo di destinazione </w:t>
      </w:r>
      <w:r w:rsidR="00011796">
        <w:rPr>
          <w:rFonts w:ascii="Tahoma" w:eastAsia="Times New Roman" w:hAnsi="Tahoma" w:cs="Tahoma"/>
          <w:b/>
          <w:bCs/>
          <w:color w:val="000000"/>
          <w:sz w:val="28"/>
          <w:szCs w:val="28"/>
          <w:shd w:val="clear" w:color="auto" w:fill="FFFFFF"/>
          <w:lang w:eastAsia="it-IT"/>
        </w:rPr>
        <w:t xml:space="preserve"> a tutto il personale DOCENTE-ATA” </w:t>
      </w:r>
      <w:r w:rsidR="00156397">
        <w:rPr>
          <w:rFonts w:ascii="Tahoma" w:eastAsia="Times New Roman" w:hAnsi="Tahoma" w:cs="Tahoma"/>
          <w:bCs/>
          <w:color w:val="000000"/>
          <w:sz w:val="28"/>
          <w:szCs w:val="28"/>
          <w:shd w:val="clear" w:color="auto" w:fill="FFFFFF"/>
          <w:lang w:eastAsia="it-IT"/>
        </w:rPr>
        <w:t>al tavolo contrattuale.</w:t>
      </w:r>
    </w:p>
    <w:p w14:paraId="605AEB03" w14:textId="77777777" w:rsidR="00156397" w:rsidRDefault="00156397" w:rsidP="00011796">
      <w:pPr>
        <w:spacing w:after="0" w:line="240" w:lineRule="auto"/>
        <w:jc w:val="both"/>
        <w:rPr>
          <w:rFonts w:ascii="Tahoma" w:eastAsia="Times New Roman" w:hAnsi="Tahoma" w:cs="Tahoma"/>
          <w:bCs/>
          <w:color w:val="000000"/>
          <w:sz w:val="28"/>
          <w:szCs w:val="28"/>
          <w:shd w:val="clear" w:color="auto" w:fill="FFFFFF"/>
          <w:lang w:eastAsia="it-IT"/>
        </w:rPr>
      </w:pPr>
      <w:r>
        <w:rPr>
          <w:rFonts w:ascii="Tahoma" w:eastAsia="Times New Roman" w:hAnsi="Tahoma" w:cs="Tahoma"/>
          <w:bCs/>
          <w:color w:val="000000"/>
          <w:sz w:val="28"/>
          <w:szCs w:val="28"/>
          <w:shd w:val="clear" w:color="auto" w:fill="FFFFFF"/>
          <w:lang w:eastAsia="it-IT"/>
        </w:rPr>
        <w:t>In punto di diritto, l’impossibilità di destinare parte del Bonus anche al DSGA potrebbe inquadrarsi in una disparità di trattamento nei confronti di un dipendente la cui posizione risulta essere incardinata all’interno dell’Area D in qualità di funzionario apicale del comparto ATA.</w:t>
      </w:r>
    </w:p>
    <w:p w14:paraId="1AF6AC88" w14:textId="77777777" w:rsidR="00156397" w:rsidRDefault="00156397" w:rsidP="00011796">
      <w:pPr>
        <w:spacing w:after="0" w:line="240" w:lineRule="auto"/>
        <w:jc w:val="both"/>
        <w:rPr>
          <w:rFonts w:ascii="Tahoma" w:eastAsia="Times New Roman" w:hAnsi="Tahoma" w:cs="Tahoma"/>
          <w:bCs/>
          <w:color w:val="000000"/>
          <w:sz w:val="28"/>
          <w:szCs w:val="28"/>
          <w:shd w:val="clear" w:color="auto" w:fill="FFFFFF"/>
          <w:lang w:eastAsia="it-IT"/>
        </w:rPr>
      </w:pPr>
      <w:r>
        <w:rPr>
          <w:rFonts w:ascii="Tahoma" w:eastAsia="Times New Roman" w:hAnsi="Tahoma" w:cs="Tahoma"/>
          <w:bCs/>
          <w:color w:val="000000"/>
          <w:sz w:val="28"/>
          <w:szCs w:val="28"/>
          <w:shd w:val="clear" w:color="auto" w:fill="FFFFFF"/>
          <w:lang w:eastAsia="it-IT"/>
        </w:rPr>
        <w:t xml:space="preserve">Pur consapevoli che la questione riferita al caso de quo, potrebbe apparire chiaramente un aspetto di “nicchia” rispetto a macro argomentazioni presenti all’interno di ciascuna istituzione scolastica, riteniamo che l’azione sindacale e le radici che alimentano il temperamento e la storia della UIL, debbano </w:t>
      </w:r>
      <w:r w:rsidR="00011796">
        <w:rPr>
          <w:rFonts w:ascii="Tahoma" w:eastAsia="Times New Roman" w:hAnsi="Tahoma" w:cs="Tahoma"/>
          <w:bCs/>
          <w:color w:val="000000"/>
          <w:sz w:val="28"/>
          <w:szCs w:val="28"/>
          <w:shd w:val="clear" w:color="auto" w:fill="FFFFFF"/>
          <w:lang w:eastAsia="it-IT"/>
        </w:rPr>
        <w:t>rilevare</w:t>
      </w:r>
      <w:r>
        <w:rPr>
          <w:rFonts w:ascii="Tahoma" w:eastAsia="Times New Roman" w:hAnsi="Tahoma" w:cs="Tahoma"/>
          <w:bCs/>
          <w:color w:val="000000"/>
          <w:sz w:val="28"/>
          <w:szCs w:val="28"/>
          <w:shd w:val="clear" w:color="auto" w:fill="FFFFFF"/>
          <w:lang w:eastAsia="it-IT"/>
        </w:rPr>
        <w:t xml:space="preserve"> che l’esercizio dell’azione sindacale non deve solo riguardare la tutela dei diritti dei lavoratori, ma bensì anche il diritto del “singolo” lavoratore.</w:t>
      </w:r>
    </w:p>
    <w:p w14:paraId="04459A1A" w14:textId="62953B2C" w:rsidR="00156397" w:rsidRDefault="00E475CB" w:rsidP="00011796">
      <w:pPr>
        <w:spacing w:after="0" w:line="240" w:lineRule="auto"/>
        <w:jc w:val="both"/>
        <w:rPr>
          <w:rFonts w:ascii="Tahoma" w:eastAsia="Times New Roman" w:hAnsi="Tahoma" w:cs="Tahoma"/>
          <w:bCs/>
          <w:color w:val="000000"/>
          <w:sz w:val="28"/>
          <w:szCs w:val="28"/>
          <w:shd w:val="clear" w:color="auto" w:fill="FFFFFF"/>
          <w:lang w:eastAsia="it-IT"/>
        </w:rPr>
      </w:pPr>
      <w:r>
        <w:rPr>
          <w:rFonts w:ascii="Tahoma" w:eastAsia="Times New Roman" w:hAnsi="Tahoma" w:cs="Tahoma"/>
          <w:bCs/>
          <w:color w:val="000000"/>
          <w:sz w:val="28"/>
          <w:szCs w:val="28"/>
          <w:shd w:val="clear" w:color="auto" w:fill="FFFFFF"/>
          <w:lang w:eastAsia="it-IT"/>
        </w:rPr>
        <w:lastRenderedPageBreak/>
        <w:t>R</w:t>
      </w:r>
      <w:r w:rsidR="00156397">
        <w:rPr>
          <w:rFonts w:ascii="Tahoma" w:eastAsia="Times New Roman" w:hAnsi="Tahoma" w:cs="Tahoma"/>
          <w:bCs/>
          <w:color w:val="000000"/>
          <w:sz w:val="28"/>
          <w:szCs w:val="28"/>
          <w:shd w:val="clear" w:color="auto" w:fill="FFFFFF"/>
          <w:lang w:eastAsia="it-IT"/>
        </w:rPr>
        <w:t>iteniamo</w:t>
      </w:r>
      <w:r>
        <w:rPr>
          <w:rFonts w:ascii="Tahoma" w:eastAsia="Times New Roman" w:hAnsi="Tahoma" w:cs="Tahoma"/>
          <w:bCs/>
          <w:color w:val="000000"/>
          <w:sz w:val="28"/>
          <w:szCs w:val="28"/>
          <w:shd w:val="clear" w:color="auto" w:fill="FFFFFF"/>
          <w:lang w:eastAsia="it-IT"/>
        </w:rPr>
        <w:t>,</w:t>
      </w:r>
      <w:r w:rsidR="00156397">
        <w:rPr>
          <w:rFonts w:ascii="Tahoma" w:eastAsia="Times New Roman" w:hAnsi="Tahoma" w:cs="Tahoma"/>
          <w:bCs/>
          <w:color w:val="000000"/>
          <w:sz w:val="28"/>
          <w:szCs w:val="28"/>
          <w:shd w:val="clear" w:color="auto" w:fill="FFFFFF"/>
          <w:lang w:eastAsia="it-IT"/>
        </w:rPr>
        <w:t xml:space="preserve"> </w:t>
      </w:r>
      <w:r>
        <w:rPr>
          <w:rFonts w:ascii="Tahoma" w:eastAsia="Times New Roman" w:hAnsi="Tahoma" w:cs="Tahoma"/>
          <w:bCs/>
          <w:color w:val="000000"/>
          <w:sz w:val="28"/>
          <w:szCs w:val="28"/>
          <w:shd w:val="clear" w:color="auto" w:fill="FFFFFF"/>
          <w:lang w:eastAsia="it-IT"/>
        </w:rPr>
        <w:t xml:space="preserve">pertanto, </w:t>
      </w:r>
      <w:r w:rsidR="00156397">
        <w:rPr>
          <w:rFonts w:ascii="Tahoma" w:eastAsia="Times New Roman" w:hAnsi="Tahoma" w:cs="Tahoma"/>
          <w:bCs/>
          <w:color w:val="000000"/>
          <w:sz w:val="28"/>
          <w:szCs w:val="28"/>
          <w:shd w:val="clear" w:color="auto" w:fill="FFFFFF"/>
          <w:lang w:eastAsia="it-IT"/>
        </w:rPr>
        <w:t xml:space="preserve">opportuno che in tutte le contrattazioni all’interno del territorio provinciale, venga </w:t>
      </w:r>
      <w:r w:rsidR="00011796">
        <w:rPr>
          <w:rFonts w:ascii="Tahoma" w:eastAsia="Times New Roman" w:hAnsi="Tahoma" w:cs="Tahoma"/>
          <w:bCs/>
          <w:color w:val="000000"/>
          <w:sz w:val="28"/>
          <w:szCs w:val="28"/>
          <w:shd w:val="clear" w:color="auto" w:fill="FFFFFF"/>
          <w:lang w:eastAsia="it-IT"/>
        </w:rPr>
        <w:t>chiesto al Ds in qualità di presidente della delegazione trattante di congelare l’eventuale</w:t>
      </w:r>
      <w:r w:rsidR="00156397">
        <w:rPr>
          <w:rFonts w:ascii="Tahoma" w:eastAsia="Times New Roman" w:hAnsi="Tahoma" w:cs="Tahoma"/>
          <w:bCs/>
          <w:color w:val="000000"/>
          <w:sz w:val="28"/>
          <w:szCs w:val="28"/>
          <w:shd w:val="clear" w:color="auto" w:fill="FFFFFF"/>
          <w:lang w:eastAsia="it-IT"/>
        </w:rPr>
        <w:t xml:space="preserve"> parte da destinare al DSGA nelle more </w:t>
      </w:r>
      <w:r w:rsidR="00011796">
        <w:rPr>
          <w:rFonts w:ascii="Tahoma" w:eastAsia="Times New Roman" w:hAnsi="Tahoma" w:cs="Tahoma"/>
          <w:bCs/>
          <w:color w:val="000000"/>
          <w:sz w:val="28"/>
          <w:szCs w:val="28"/>
          <w:shd w:val="clear" w:color="auto" w:fill="FFFFFF"/>
          <w:lang w:eastAsia="it-IT"/>
        </w:rPr>
        <w:t xml:space="preserve">di </w:t>
      </w:r>
      <w:r w:rsidR="00011796" w:rsidRPr="003F7D46">
        <w:rPr>
          <w:rFonts w:ascii="Tahoma" w:eastAsia="Times New Roman" w:hAnsi="Tahoma" w:cs="Tahoma"/>
          <w:color w:val="000000"/>
          <w:sz w:val="28"/>
          <w:szCs w:val="28"/>
          <w:shd w:val="clear" w:color="auto" w:fill="FFFFFF"/>
          <w:lang w:eastAsia="it-IT"/>
        </w:rPr>
        <w:t xml:space="preserve">apposito quesito </w:t>
      </w:r>
      <w:r w:rsidR="00011796">
        <w:rPr>
          <w:rFonts w:ascii="Tahoma" w:eastAsia="Times New Roman" w:hAnsi="Tahoma" w:cs="Tahoma"/>
          <w:color w:val="000000"/>
          <w:sz w:val="28"/>
          <w:szCs w:val="28"/>
          <w:shd w:val="clear" w:color="auto" w:fill="FFFFFF"/>
          <w:lang w:eastAsia="it-IT"/>
        </w:rPr>
        <w:t xml:space="preserve">da formulare </w:t>
      </w:r>
      <w:r w:rsidR="00011796" w:rsidRPr="003F7D46">
        <w:rPr>
          <w:rFonts w:ascii="Tahoma" w:eastAsia="Times New Roman" w:hAnsi="Tahoma" w:cs="Tahoma"/>
          <w:color w:val="000000"/>
          <w:sz w:val="28"/>
          <w:szCs w:val="28"/>
          <w:shd w:val="clear" w:color="auto" w:fill="FFFFFF"/>
          <w:lang w:eastAsia="it-IT"/>
        </w:rPr>
        <w:t>ai revisori dei conti</w:t>
      </w:r>
      <w:r w:rsidR="00011796">
        <w:rPr>
          <w:rFonts w:ascii="Tahoma" w:eastAsia="Times New Roman" w:hAnsi="Tahoma" w:cs="Tahoma"/>
          <w:color w:val="000000"/>
          <w:sz w:val="28"/>
          <w:szCs w:val="28"/>
          <w:shd w:val="clear" w:color="auto" w:fill="FFFFFF"/>
          <w:lang w:eastAsia="it-IT"/>
        </w:rPr>
        <w:t>.</w:t>
      </w:r>
      <w:r w:rsidR="00156397">
        <w:rPr>
          <w:rFonts w:ascii="Tahoma" w:eastAsia="Times New Roman" w:hAnsi="Tahoma" w:cs="Tahoma"/>
          <w:bCs/>
          <w:color w:val="000000"/>
          <w:sz w:val="28"/>
          <w:szCs w:val="28"/>
          <w:shd w:val="clear" w:color="auto" w:fill="FFFFFF"/>
          <w:lang w:eastAsia="it-IT"/>
        </w:rPr>
        <w:t xml:space="preserve"> </w:t>
      </w:r>
    </w:p>
    <w:p w14:paraId="7D358FDD" w14:textId="77777777" w:rsidR="00011796" w:rsidRDefault="00011796" w:rsidP="0052202A">
      <w:pPr>
        <w:spacing w:after="0" w:line="240" w:lineRule="auto"/>
        <w:rPr>
          <w:rFonts w:ascii="Tahoma" w:eastAsia="Times New Roman" w:hAnsi="Tahoma" w:cs="Tahoma"/>
          <w:b/>
          <w:bCs/>
          <w:color w:val="000000"/>
          <w:sz w:val="28"/>
          <w:szCs w:val="28"/>
          <w:shd w:val="clear" w:color="auto" w:fill="FFFFFF"/>
          <w:lang w:eastAsia="it-IT"/>
        </w:rPr>
      </w:pPr>
    </w:p>
    <w:p w14:paraId="0ADD08E0" w14:textId="77777777" w:rsidR="00011796" w:rsidRDefault="00011796" w:rsidP="0052202A">
      <w:pPr>
        <w:spacing w:after="0" w:line="240" w:lineRule="auto"/>
        <w:rPr>
          <w:rFonts w:ascii="Tahoma" w:eastAsia="Times New Roman" w:hAnsi="Tahoma" w:cs="Tahoma"/>
          <w:b/>
          <w:bCs/>
          <w:color w:val="000000"/>
          <w:sz w:val="28"/>
          <w:szCs w:val="28"/>
          <w:shd w:val="clear" w:color="auto" w:fill="FFFFFF"/>
          <w:lang w:eastAsia="it-IT"/>
        </w:rPr>
      </w:pPr>
    </w:p>
    <w:p w14:paraId="5CAA28F4" w14:textId="77777777" w:rsidR="00011796" w:rsidRDefault="00011796" w:rsidP="0052202A">
      <w:pPr>
        <w:spacing w:after="0" w:line="240" w:lineRule="auto"/>
        <w:rPr>
          <w:rFonts w:ascii="Tahoma" w:eastAsia="Times New Roman" w:hAnsi="Tahoma" w:cs="Tahoma"/>
          <w:b/>
          <w:bCs/>
          <w:color w:val="000000"/>
          <w:sz w:val="28"/>
          <w:szCs w:val="28"/>
          <w:shd w:val="clear" w:color="auto" w:fill="FFFFFF"/>
          <w:lang w:eastAsia="it-IT"/>
        </w:rPr>
      </w:pPr>
      <w:r>
        <w:rPr>
          <w:rFonts w:ascii="Tahoma" w:eastAsia="Times New Roman" w:hAnsi="Tahoma" w:cs="Tahoma"/>
          <w:b/>
          <w:bCs/>
          <w:noProof/>
          <w:color w:val="000000"/>
          <w:sz w:val="28"/>
          <w:szCs w:val="28"/>
          <w:lang w:eastAsia="it-IT"/>
        </w:rPr>
        <mc:AlternateContent>
          <mc:Choice Requires="wps">
            <w:drawing>
              <wp:anchor distT="0" distB="0" distL="114300" distR="114300" simplePos="0" relativeHeight="251659264" behindDoc="1" locked="0" layoutInCell="1" allowOverlap="1" wp14:anchorId="5091FA5A" wp14:editId="0B3E1C40">
                <wp:simplePos x="0" y="0"/>
                <wp:positionH relativeFrom="column">
                  <wp:posOffset>89535</wp:posOffset>
                </wp:positionH>
                <wp:positionV relativeFrom="paragraph">
                  <wp:posOffset>49530</wp:posOffset>
                </wp:positionV>
                <wp:extent cx="6229350" cy="81915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6229350" cy="819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D304D" id="Rettangolo 1" o:spid="_x0000_s1026" style="position:absolute;margin-left:7.05pt;margin-top:3.9pt;width:490.5pt;height:6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" fillcolor="#5b9bd5 [3204]" strokecolor="#1f4d78 [1604]" strokeweight="1pt"/>
            </w:pict>
          </mc:Fallback>
        </mc:AlternateContent>
      </w:r>
    </w:p>
    <w:p w14:paraId="06F1FF99" w14:textId="77777777" w:rsidR="00011796" w:rsidRDefault="00011796" w:rsidP="0052202A">
      <w:pPr>
        <w:spacing w:after="0" w:line="240" w:lineRule="auto"/>
        <w:rPr>
          <w:rFonts w:ascii="Tahoma" w:eastAsia="Times New Roman" w:hAnsi="Tahoma" w:cs="Tahoma"/>
          <w:b/>
          <w:bCs/>
          <w:color w:val="000000"/>
          <w:sz w:val="28"/>
          <w:szCs w:val="28"/>
          <w:shd w:val="clear" w:color="auto" w:fill="FFFFFF"/>
          <w:lang w:eastAsia="it-IT"/>
        </w:rPr>
      </w:pPr>
    </w:p>
    <w:p w14:paraId="0CE733BA" w14:textId="3B1BBC5B" w:rsidR="00011796" w:rsidRDefault="00011796" w:rsidP="00011796">
      <w:pPr>
        <w:spacing w:after="0" w:line="240" w:lineRule="auto"/>
        <w:rPr>
          <w:rFonts w:ascii="Tahoma" w:eastAsia="Times New Roman" w:hAnsi="Tahoma" w:cs="Tahoma"/>
          <w:b/>
          <w:bCs/>
          <w:color w:val="000000"/>
          <w:sz w:val="28"/>
          <w:szCs w:val="28"/>
          <w:shd w:val="clear" w:color="auto" w:fill="FFFFFF"/>
          <w:lang w:eastAsia="it-IT"/>
        </w:rPr>
      </w:pPr>
      <w:r>
        <w:rPr>
          <w:rFonts w:ascii="Tahoma" w:eastAsia="Times New Roman" w:hAnsi="Tahoma" w:cs="Tahoma"/>
          <w:b/>
          <w:bCs/>
          <w:color w:val="000000"/>
          <w:sz w:val="28"/>
          <w:szCs w:val="28"/>
          <w:shd w:val="clear" w:color="auto" w:fill="FFFFFF"/>
          <w:lang w:eastAsia="it-IT"/>
        </w:rPr>
        <w:t xml:space="preserve">         DESCRIZIONE NORMATIVA</w:t>
      </w:r>
      <w:r w:rsidR="00670941">
        <w:rPr>
          <w:rFonts w:ascii="Tahoma" w:eastAsia="Times New Roman" w:hAnsi="Tahoma" w:cs="Tahoma"/>
          <w:b/>
          <w:bCs/>
          <w:color w:val="000000"/>
          <w:sz w:val="28"/>
          <w:szCs w:val="28"/>
          <w:shd w:val="clear" w:color="auto" w:fill="FFFFFF"/>
          <w:lang w:eastAsia="it-IT"/>
        </w:rPr>
        <w:t xml:space="preserve"> ATTUALE </w:t>
      </w:r>
      <w:r w:rsidR="00C634DC">
        <w:rPr>
          <w:rFonts w:ascii="Tahoma" w:eastAsia="Times New Roman" w:hAnsi="Tahoma" w:cs="Tahoma"/>
          <w:b/>
          <w:bCs/>
          <w:color w:val="000000"/>
          <w:sz w:val="28"/>
          <w:szCs w:val="28"/>
          <w:shd w:val="clear" w:color="auto" w:fill="FFFFFF"/>
          <w:lang w:eastAsia="it-IT"/>
        </w:rPr>
        <w:t xml:space="preserve">RELATIVA AL </w:t>
      </w:r>
      <w:r w:rsidR="00670941">
        <w:rPr>
          <w:rFonts w:ascii="Tahoma" w:eastAsia="Times New Roman" w:hAnsi="Tahoma" w:cs="Tahoma"/>
          <w:b/>
          <w:bCs/>
          <w:color w:val="000000"/>
          <w:sz w:val="28"/>
          <w:szCs w:val="28"/>
          <w:shd w:val="clear" w:color="auto" w:fill="FFFFFF"/>
          <w:lang w:eastAsia="it-IT"/>
        </w:rPr>
        <w:t>DSGA</w:t>
      </w:r>
      <w:r>
        <w:rPr>
          <w:rFonts w:ascii="Tahoma" w:eastAsia="Times New Roman" w:hAnsi="Tahoma" w:cs="Tahoma"/>
          <w:b/>
          <w:bCs/>
          <w:color w:val="000000"/>
          <w:sz w:val="28"/>
          <w:szCs w:val="28"/>
          <w:shd w:val="clear" w:color="auto" w:fill="FFFFFF"/>
          <w:lang w:eastAsia="it-IT"/>
        </w:rPr>
        <w:t>:</w:t>
      </w:r>
    </w:p>
    <w:p w14:paraId="1CB82151" w14:textId="77777777" w:rsidR="00011796" w:rsidRDefault="00011796" w:rsidP="0052202A">
      <w:pPr>
        <w:spacing w:after="0" w:line="240" w:lineRule="auto"/>
        <w:rPr>
          <w:rFonts w:ascii="Tahoma" w:eastAsia="Times New Roman" w:hAnsi="Tahoma" w:cs="Tahoma"/>
          <w:b/>
          <w:bCs/>
          <w:color w:val="000000"/>
          <w:sz w:val="28"/>
          <w:szCs w:val="28"/>
          <w:shd w:val="clear" w:color="auto" w:fill="FFFFFF"/>
          <w:lang w:eastAsia="it-IT"/>
        </w:rPr>
      </w:pPr>
    </w:p>
    <w:p w14:paraId="5EE2E37C" w14:textId="77777777" w:rsidR="00011796" w:rsidRDefault="00011796" w:rsidP="0052202A">
      <w:pPr>
        <w:spacing w:after="0" w:line="240" w:lineRule="auto"/>
        <w:rPr>
          <w:rFonts w:ascii="Tahoma" w:eastAsia="Times New Roman" w:hAnsi="Tahoma" w:cs="Tahoma"/>
          <w:b/>
          <w:bCs/>
          <w:color w:val="000000"/>
          <w:sz w:val="28"/>
          <w:szCs w:val="28"/>
          <w:shd w:val="clear" w:color="auto" w:fill="FFFFFF"/>
          <w:lang w:eastAsia="it-IT"/>
        </w:rPr>
      </w:pPr>
    </w:p>
    <w:p w14:paraId="413DFBB1" w14:textId="77777777" w:rsidR="0052202A" w:rsidRDefault="0052202A" w:rsidP="0052202A">
      <w:pPr>
        <w:spacing w:after="0" w:line="240" w:lineRule="auto"/>
        <w:rPr>
          <w:rFonts w:ascii="Tahoma" w:eastAsia="Times New Roman" w:hAnsi="Tahoma" w:cs="Tahoma"/>
          <w:b/>
          <w:bCs/>
          <w:color w:val="000000"/>
          <w:sz w:val="28"/>
          <w:szCs w:val="28"/>
          <w:shd w:val="clear" w:color="auto" w:fill="FFFFFF"/>
          <w:lang w:eastAsia="it-IT"/>
        </w:rPr>
      </w:pPr>
    </w:p>
    <w:p w14:paraId="01ED8182" w14:textId="77777777" w:rsidR="0052202A" w:rsidRPr="003F7D46" w:rsidRDefault="00011796" w:rsidP="00011796">
      <w:pPr>
        <w:spacing w:after="0" w:line="240" w:lineRule="auto"/>
        <w:rPr>
          <w:rFonts w:ascii="Calibri" w:eastAsia="Times New Roman" w:hAnsi="Calibri" w:cs="Calibri"/>
          <w:color w:val="000000"/>
          <w:lang w:eastAsia="it-IT"/>
        </w:rPr>
      </w:pPr>
      <w:r>
        <w:rPr>
          <w:rFonts w:ascii="Tahoma" w:eastAsia="Times New Roman" w:hAnsi="Tahoma" w:cs="Tahoma"/>
          <w:b/>
          <w:bCs/>
          <w:color w:val="000000"/>
          <w:sz w:val="28"/>
          <w:szCs w:val="28"/>
          <w:shd w:val="clear" w:color="auto" w:fill="FFFFFF"/>
          <w:lang w:eastAsia="it-IT"/>
        </w:rPr>
        <w:t>L</w:t>
      </w:r>
      <w:r w:rsidR="0052202A" w:rsidRPr="003F7D46">
        <w:rPr>
          <w:rFonts w:ascii="Tahoma" w:eastAsia="Times New Roman" w:hAnsi="Tahoma" w:cs="Tahoma"/>
          <w:b/>
          <w:bCs/>
          <w:color w:val="000000"/>
          <w:sz w:val="28"/>
          <w:szCs w:val="28"/>
          <w:shd w:val="clear" w:color="auto" w:fill="FFFFFF"/>
          <w:lang w:eastAsia="it-IT"/>
        </w:rPr>
        <w:t>a Legge Finanziaria dello scorso anno</w:t>
      </w:r>
      <w:r w:rsidR="0052202A" w:rsidRPr="003F7D46">
        <w:rPr>
          <w:rFonts w:ascii="Calibri" w:eastAsia="Times New Roman" w:hAnsi="Calibri" w:cs="Calibri"/>
          <w:color w:val="000000"/>
          <w:lang w:eastAsia="it-IT"/>
        </w:rPr>
        <w:t> </w:t>
      </w:r>
      <w:r w:rsidR="0052202A" w:rsidRPr="003F7D46">
        <w:rPr>
          <w:rFonts w:ascii="Tahoma" w:eastAsia="Times New Roman" w:hAnsi="Tahoma" w:cs="Tahoma"/>
          <w:color w:val="000000"/>
          <w:sz w:val="28"/>
          <w:szCs w:val="28"/>
          <w:shd w:val="clear" w:color="auto" w:fill="FFFFFF"/>
          <w:lang w:eastAsia="it-IT"/>
        </w:rPr>
        <w:t>(L. 160/2019 - art. 1 comma 249)</w:t>
      </w:r>
      <w:r w:rsidR="0052202A" w:rsidRPr="003F7D46">
        <w:rPr>
          <w:rFonts w:ascii="Tahoma" w:eastAsia="Times New Roman" w:hAnsi="Tahoma" w:cs="Tahoma"/>
          <w:b/>
          <w:bCs/>
          <w:color w:val="000000"/>
          <w:sz w:val="28"/>
          <w:szCs w:val="28"/>
          <w:shd w:val="clear" w:color="auto" w:fill="FFFFFF"/>
          <w:lang w:eastAsia="it-IT"/>
        </w:rPr>
        <w:t>, le risorse del “bonus docenti” </w:t>
      </w:r>
      <w:r w:rsidR="0052202A">
        <w:rPr>
          <w:rFonts w:ascii="Tahoma" w:eastAsia="Times New Roman" w:hAnsi="Tahoma" w:cs="Tahoma"/>
          <w:color w:val="000000"/>
          <w:sz w:val="28"/>
          <w:szCs w:val="28"/>
          <w:shd w:val="clear" w:color="auto" w:fill="FFFFFF"/>
          <w:lang w:eastAsia="it-IT"/>
        </w:rPr>
        <w:t xml:space="preserve">sono </w:t>
      </w:r>
      <w:r w:rsidR="0052202A" w:rsidRPr="003F7D46">
        <w:rPr>
          <w:rFonts w:ascii="Tahoma" w:eastAsia="Times New Roman" w:hAnsi="Tahoma" w:cs="Tahoma"/>
          <w:color w:val="000000"/>
          <w:sz w:val="28"/>
          <w:szCs w:val="28"/>
          <w:shd w:val="clear" w:color="auto" w:fill="FFFFFF"/>
          <w:lang w:eastAsia="it-IT"/>
        </w:rPr>
        <w:t>state definalizzate.</w:t>
      </w:r>
      <w:r w:rsidR="0052202A" w:rsidRPr="003F7D46">
        <w:rPr>
          <w:rFonts w:ascii="Tahoma" w:eastAsia="Times New Roman" w:hAnsi="Tahoma" w:cs="Tahoma"/>
          <w:color w:val="000000"/>
          <w:sz w:val="28"/>
          <w:szCs w:val="28"/>
          <w:shd w:val="clear" w:color="auto" w:fill="FFFFFF"/>
          <w:lang w:eastAsia="it-IT"/>
        </w:rPr>
        <w:br/>
        <w:t>Possono essere utilizzate dalla contrattazione integrativa alla stregua delle altre risorse del FIS a favore del personale scolastico </w:t>
      </w:r>
      <w:r w:rsidR="0052202A" w:rsidRPr="003F7D46">
        <w:rPr>
          <w:rFonts w:ascii="Tahoma" w:eastAsia="Times New Roman" w:hAnsi="Tahoma" w:cs="Tahoma"/>
          <w:b/>
          <w:bCs/>
          <w:color w:val="000000"/>
          <w:sz w:val="28"/>
          <w:szCs w:val="28"/>
          <w:shd w:val="clear" w:color="auto" w:fill="FFFFFF"/>
          <w:lang w:eastAsia="it-IT"/>
        </w:rPr>
        <w:t>(docente e Ata)</w:t>
      </w:r>
      <w:r w:rsidR="0052202A" w:rsidRPr="003F7D46">
        <w:rPr>
          <w:rFonts w:ascii="Tahoma" w:eastAsia="Times New Roman" w:hAnsi="Tahoma" w:cs="Tahoma"/>
          <w:color w:val="000000"/>
          <w:sz w:val="28"/>
          <w:szCs w:val="28"/>
          <w:shd w:val="clear" w:color="auto" w:fill="FFFFFF"/>
          <w:lang w:eastAsia="it-IT"/>
        </w:rPr>
        <w:t>, </w:t>
      </w:r>
      <w:r w:rsidR="0052202A" w:rsidRPr="003F7D46">
        <w:rPr>
          <w:rFonts w:ascii="Tahoma" w:eastAsia="Times New Roman" w:hAnsi="Tahoma" w:cs="Tahoma"/>
          <w:b/>
          <w:bCs/>
          <w:color w:val="000000"/>
          <w:sz w:val="28"/>
          <w:szCs w:val="28"/>
          <w:shd w:val="clear" w:color="auto" w:fill="FFFFFF"/>
          <w:lang w:eastAsia="it-IT"/>
        </w:rPr>
        <w:t>senza ulteriore vincolo di destinazione</w:t>
      </w:r>
      <w:r w:rsidR="0052202A" w:rsidRPr="003F7D46">
        <w:rPr>
          <w:rFonts w:ascii="Tahoma" w:eastAsia="Times New Roman" w:hAnsi="Tahoma" w:cs="Tahoma"/>
          <w:color w:val="000000"/>
          <w:sz w:val="28"/>
          <w:szCs w:val="28"/>
          <w:shd w:val="clear" w:color="auto" w:fill="FFFFFF"/>
          <w:lang w:eastAsia="it-IT"/>
        </w:rPr>
        <w:t>, a differenza di quanto era stato stabilito dalla Legge 107/2015 che aveva appunto introdotto il Bonus per la valorizzazione del merito, attribuito annualmente dal Dirigente Scolastico sulla base dei criteri individuati dal Comitato per la valutazione dei docenti.</w:t>
      </w:r>
    </w:p>
    <w:p w14:paraId="0F8E014A" w14:textId="77777777" w:rsidR="0052202A" w:rsidRPr="003F7D46" w:rsidRDefault="0052202A" w:rsidP="00011796">
      <w:pPr>
        <w:spacing w:after="0" w:line="240" w:lineRule="auto"/>
        <w:rPr>
          <w:rFonts w:ascii="Calibri" w:eastAsia="Times New Roman" w:hAnsi="Calibri" w:cs="Calibri"/>
          <w:color w:val="000000"/>
          <w:lang w:eastAsia="it-IT"/>
        </w:rPr>
      </w:pPr>
      <w:r w:rsidRPr="003F7D46">
        <w:rPr>
          <w:rFonts w:ascii="Tahoma" w:eastAsia="Times New Roman" w:hAnsi="Tahoma" w:cs="Tahoma"/>
          <w:color w:val="000000"/>
          <w:sz w:val="28"/>
          <w:szCs w:val="28"/>
          <w:shd w:val="clear" w:color="auto" w:fill="FFFFFF"/>
          <w:lang w:eastAsia="it-IT"/>
        </w:rPr>
        <w:t>Il DSGA ha accesso alle risorse del FIS soltanto in riferimento all’art. 88, comma 2, lettera j) del CCNL di comparto del 2007, dove si dice che con il FIS è retribuito: “la quota variabile dell’indennità di direzione di cui all’art. 56 del presente CCNL spettante al DSGA con le modalità stabilite nel CCNI del 31.8.1999 e nelle misure definite nella Tabella C”.</w:t>
      </w:r>
      <w:r w:rsidRPr="003F7D46">
        <w:rPr>
          <w:rFonts w:ascii="Tahoma" w:eastAsia="Times New Roman" w:hAnsi="Tahoma" w:cs="Tahoma"/>
          <w:color w:val="000000"/>
          <w:sz w:val="28"/>
          <w:szCs w:val="28"/>
          <w:lang w:eastAsia="it-IT"/>
        </w:rPr>
        <w:br/>
      </w:r>
      <w:r w:rsidRPr="003F7D46">
        <w:rPr>
          <w:rFonts w:ascii="Tahoma" w:eastAsia="Times New Roman" w:hAnsi="Tahoma" w:cs="Tahoma"/>
          <w:color w:val="000000"/>
          <w:sz w:val="28"/>
          <w:szCs w:val="28"/>
          <w:shd w:val="clear" w:color="auto" w:fill="FFFFFF"/>
          <w:lang w:eastAsia="it-IT"/>
        </w:rPr>
        <w:t>Al successivo artico 89 si aggiunge che: “Al personale DSGA possono essere corrisposti, fatto salvo quanto previsto dall’art. 88, comma 2, lettera i), esclusivamente i seguenti compensi a carico del fondo d’istituto:</w:t>
      </w:r>
    </w:p>
    <w:p w14:paraId="55D43C0A" w14:textId="77777777" w:rsidR="0052202A" w:rsidRPr="003F7D46" w:rsidRDefault="0052202A" w:rsidP="00011796">
      <w:pPr>
        <w:spacing w:after="0" w:line="240" w:lineRule="auto"/>
        <w:rPr>
          <w:rFonts w:ascii="Calibri" w:eastAsia="Times New Roman" w:hAnsi="Calibri" w:cs="Calibri"/>
          <w:color w:val="000000"/>
          <w:lang w:eastAsia="it-IT"/>
        </w:rPr>
      </w:pPr>
      <w:r w:rsidRPr="003F7D46">
        <w:rPr>
          <w:rFonts w:ascii="Tahoma" w:eastAsia="Times New Roman" w:hAnsi="Tahoma" w:cs="Tahoma"/>
          <w:color w:val="000000"/>
          <w:sz w:val="28"/>
          <w:szCs w:val="28"/>
          <w:shd w:val="clear" w:color="auto" w:fill="FFFFFF"/>
          <w:lang w:eastAsia="it-IT"/>
        </w:rPr>
        <w:t>a) per compensi per lavoro straordinario, per un massimo di 100 ore annue;</w:t>
      </w:r>
    </w:p>
    <w:p w14:paraId="4A103967" w14:textId="77777777" w:rsidR="0052202A" w:rsidRPr="003F7D46" w:rsidRDefault="0052202A" w:rsidP="00011796">
      <w:pPr>
        <w:spacing w:after="0" w:line="240" w:lineRule="auto"/>
        <w:rPr>
          <w:rFonts w:ascii="Calibri" w:eastAsia="Times New Roman" w:hAnsi="Calibri" w:cs="Calibri"/>
          <w:color w:val="000000"/>
          <w:lang w:eastAsia="it-IT"/>
        </w:rPr>
      </w:pPr>
      <w:r w:rsidRPr="003F7D46">
        <w:rPr>
          <w:rFonts w:ascii="Tahoma" w:eastAsia="Times New Roman" w:hAnsi="Tahoma" w:cs="Tahoma"/>
          <w:color w:val="000000"/>
          <w:sz w:val="28"/>
          <w:szCs w:val="28"/>
          <w:shd w:val="clear" w:color="auto" w:fill="FFFFFF"/>
          <w:lang w:eastAsia="it-IT"/>
        </w:rPr>
        <w:t>b) per attività e prestazioni aggiuntive connesse a progetti finanziati con risorse dell’UE, da enti pubblici e da soggetti privati”.</w:t>
      </w:r>
      <w:r w:rsidRPr="003F7D46">
        <w:rPr>
          <w:rFonts w:ascii="Tahoma" w:eastAsia="Times New Roman" w:hAnsi="Tahoma" w:cs="Tahoma"/>
          <w:color w:val="000000"/>
          <w:sz w:val="28"/>
          <w:szCs w:val="28"/>
          <w:lang w:eastAsia="it-IT"/>
        </w:rPr>
        <w:br/>
      </w:r>
      <w:r w:rsidRPr="003F7D46">
        <w:rPr>
          <w:rFonts w:ascii="Tahoma" w:eastAsia="Times New Roman" w:hAnsi="Tahoma" w:cs="Tahoma"/>
          <w:color w:val="000000"/>
          <w:sz w:val="28"/>
          <w:szCs w:val="28"/>
          <w:shd w:val="clear" w:color="auto" w:fill="FFFFFF"/>
          <w:lang w:eastAsia="it-IT"/>
        </w:rPr>
        <w:t>Per quanto riguarda il lavoro straordinario va aggiunto che la successiva Sequenza contrattuale del 25 giugno 2008 ha eliminato la possibilità prevista dall’art. 89 di retribuire fino a cento ore eccedenti l’orario obbligatorio di servizio. L’indennità di direzione infatti assorbe il compenso per le prestazioni eccedenti, previste dall’art. 56, comma 4, del CCNL 2007.</w:t>
      </w:r>
      <w:r w:rsidRPr="003F7D46">
        <w:rPr>
          <w:rFonts w:ascii="Tahoma" w:eastAsia="Times New Roman" w:hAnsi="Tahoma" w:cs="Tahoma"/>
          <w:color w:val="000000"/>
          <w:sz w:val="28"/>
          <w:szCs w:val="28"/>
          <w:shd w:val="clear" w:color="auto" w:fill="FFFFFF"/>
          <w:lang w:eastAsia="it-IT"/>
        </w:rPr>
        <w:br/>
        <w:t>Il DSGA può svolgere prestazioni aggiuntive rispetto al proprio orario di servizio e può recuperare l’eccedenza oraria attraverso forme di flessibilità organizzativa del suo lavoro oppure può accedere ai compensi previsti per particolari progetti come previsto dalla lettera b) dell’art. 89.</w:t>
      </w:r>
    </w:p>
    <w:p w14:paraId="6B77023A" w14:textId="77777777" w:rsidR="000D4769" w:rsidRDefault="00C634DC"/>
    <w:sectPr w:rsidR="000D47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02A"/>
    <w:rsid w:val="00011796"/>
    <w:rsid w:val="00156397"/>
    <w:rsid w:val="003334DC"/>
    <w:rsid w:val="0052202A"/>
    <w:rsid w:val="00670941"/>
    <w:rsid w:val="00C03B88"/>
    <w:rsid w:val="00C634DC"/>
    <w:rsid w:val="00E475CB"/>
    <w:rsid w:val="00F50E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AF5F"/>
  <w15:chartTrackingRefBased/>
  <w15:docId w15:val="{4E20EE9D-2FD3-49C8-8C72-B78D4DE1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20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1FA73-86C3-45EF-AE3E-1AE3A643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563</Words>
  <Characters>3211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Claudio Saetta</cp:lastModifiedBy>
  <cp:revision>5</cp:revision>
  <dcterms:created xsi:type="dcterms:W3CDTF">2020-12-03T10:53:00Z</dcterms:created>
  <dcterms:modified xsi:type="dcterms:W3CDTF">2020-12-03T11:12:00Z</dcterms:modified>
</cp:coreProperties>
</file>