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87" w:rsidRDefault="00CE6E87" w:rsidP="00791CA2">
      <w:pPr>
        <w:suppressAutoHyphens/>
        <w:autoSpaceDE/>
        <w:spacing w:after="200" w:line="276" w:lineRule="auto"/>
        <w:jc w:val="both"/>
        <w:textAlignment w:val="baseline"/>
        <w:rPr>
          <w:rFonts w:asciiTheme="minorHAnsi" w:hAnsiTheme="minorHAnsi"/>
          <w:b/>
          <w:sz w:val="22"/>
          <w:szCs w:val="22"/>
        </w:rPr>
      </w:pPr>
    </w:p>
    <w:p w:rsidR="00CE6E87" w:rsidRDefault="00CE6E87" w:rsidP="00CE6E87">
      <w:pPr>
        <w:jc w:val="center"/>
        <w:rPr>
          <w:szCs w:val="26"/>
        </w:rPr>
      </w:pPr>
      <w:r w:rsidRPr="00C30C23">
        <w:rPr>
          <w:noProof/>
        </w:rPr>
        <w:drawing>
          <wp:inline distT="0" distB="0" distL="0" distR="0">
            <wp:extent cx="771525" cy="790575"/>
            <wp:effectExtent l="0" t="0" r="9525" b="9525"/>
            <wp:docPr id="1" name="Immagine 1" descr="download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2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rsidR="00CE6E87" w:rsidRDefault="00CE6E87" w:rsidP="00CE6E87">
      <w:pPr>
        <w:rPr>
          <w:szCs w:val="26"/>
        </w:rPr>
      </w:pPr>
    </w:p>
    <w:p w:rsidR="00CE6E87" w:rsidRPr="003D47BC" w:rsidRDefault="00CE6E87" w:rsidP="00CE6E87">
      <w:pPr>
        <w:tabs>
          <w:tab w:val="left" w:pos="1725"/>
        </w:tabs>
        <w:jc w:val="center"/>
        <w:rPr>
          <w:rFonts w:ascii="Verdana" w:hAnsi="Verdana"/>
          <w:b/>
          <w:sz w:val="26"/>
          <w:szCs w:val="26"/>
        </w:rPr>
      </w:pPr>
      <w:r w:rsidRPr="003D47BC">
        <w:rPr>
          <w:rFonts w:ascii="Verdana" w:hAnsi="Verdana"/>
          <w:b/>
          <w:sz w:val="26"/>
          <w:szCs w:val="26"/>
        </w:rPr>
        <w:t>MINISTERO DELL’ISTRUZIONE</w:t>
      </w:r>
    </w:p>
    <w:p w:rsidR="00CE6E87" w:rsidRPr="00BB5DDB" w:rsidRDefault="00CE6E87" w:rsidP="00CE6E87">
      <w:pPr>
        <w:tabs>
          <w:tab w:val="left" w:pos="1725"/>
        </w:tabs>
        <w:jc w:val="center"/>
        <w:rPr>
          <w:rFonts w:ascii="Verdana" w:hAnsi="Verdana"/>
          <w:b/>
        </w:rPr>
      </w:pPr>
      <w:r w:rsidRPr="00BB5DDB">
        <w:rPr>
          <w:rFonts w:ascii="Verdana" w:hAnsi="Verdana"/>
          <w:b/>
        </w:rPr>
        <w:t>Istituto Comprensivo “A.</w:t>
      </w:r>
      <w:r>
        <w:rPr>
          <w:rFonts w:ascii="Verdana" w:hAnsi="Verdana"/>
          <w:b/>
          <w:sz w:val="4"/>
          <w:szCs w:val="4"/>
        </w:rPr>
        <w:t xml:space="preserve"> </w:t>
      </w:r>
      <w:r w:rsidRPr="00BB5DDB">
        <w:rPr>
          <w:rFonts w:ascii="Verdana" w:hAnsi="Verdana"/>
          <w:b/>
        </w:rPr>
        <w:t>Manzoni”</w:t>
      </w:r>
    </w:p>
    <w:p w:rsidR="00CE6E87" w:rsidRDefault="00CE6E87" w:rsidP="00CE6E87">
      <w:pPr>
        <w:tabs>
          <w:tab w:val="left" w:pos="2130"/>
        </w:tabs>
        <w:jc w:val="center"/>
        <w:rPr>
          <w:rFonts w:ascii="Verdana" w:hAnsi="Verdana"/>
          <w:b/>
        </w:rPr>
      </w:pPr>
      <w:r w:rsidRPr="00BB5DDB">
        <w:rPr>
          <w:rFonts w:ascii="Verdana" w:hAnsi="Verdana"/>
          <w:b/>
        </w:rPr>
        <w:t>Via XXV Aprile 28 - 24042 Capriate San Gervasio (Bg)</w:t>
      </w:r>
    </w:p>
    <w:p w:rsidR="00CE6E87" w:rsidRPr="00BB5DDB" w:rsidRDefault="00CE6E87" w:rsidP="00CE6E87">
      <w:pPr>
        <w:tabs>
          <w:tab w:val="left" w:pos="2130"/>
        </w:tabs>
        <w:jc w:val="center"/>
        <w:rPr>
          <w:rFonts w:ascii="Verdana" w:hAnsi="Verdana"/>
          <w:b/>
          <w:sz w:val="4"/>
          <w:szCs w:val="4"/>
        </w:rPr>
      </w:pPr>
    </w:p>
    <w:p w:rsidR="00CE6E87" w:rsidRPr="003D47BC" w:rsidRDefault="00CE6E87" w:rsidP="00CE6E87">
      <w:pPr>
        <w:tabs>
          <w:tab w:val="left" w:pos="2130"/>
        </w:tabs>
        <w:jc w:val="center"/>
        <w:rPr>
          <w:rFonts w:ascii="Verdana" w:hAnsi="Verdana" w:cs="Tahoma"/>
          <w:sz w:val="18"/>
          <w:szCs w:val="18"/>
        </w:rPr>
      </w:pPr>
      <w:r w:rsidRPr="003D47BC">
        <w:rPr>
          <w:rFonts w:ascii="Verdana" w:hAnsi="Verdana" w:cs="Tahoma"/>
          <w:sz w:val="18"/>
          <w:szCs w:val="18"/>
        </w:rPr>
        <w:t>Scuole Primarie: Capriate, San Gervasio, Filago - Scuole Secondarie di I Grado: Capriate, Filago</w:t>
      </w:r>
    </w:p>
    <w:p w:rsidR="00CE6E87" w:rsidRPr="003D47BC" w:rsidRDefault="00CE6E87" w:rsidP="00CE6E87">
      <w:pPr>
        <w:tabs>
          <w:tab w:val="left" w:pos="2130"/>
        </w:tabs>
        <w:jc w:val="center"/>
        <w:rPr>
          <w:rFonts w:ascii="Verdana" w:hAnsi="Verdana"/>
          <w:sz w:val="18"/>
          <w:szCs w:val="18"/>
          <w:lang w:val="en-GB"/>
        </w:rPr>
      </w:pPr>
      <w:r w:rsidRPr="003D47BC">
        <w:rPr>
          <w:rFonts w:ascii="Verdana" w:hAnsi="Verdana"/>
          <w:sz w:val="18"/>
          <w:szCs w:val="18"/>
          <w:lang w:val="en-GB"/>
        </w:rPr>
        <w:t>Tel: 02/9090759</w:t>
      </w:r>
      <w:r>
        <w:rPr>
          <w:rFonts w:ascii="Verdana" w:hAnsi="Verdana"/>
          <w:sz w:val="18"/>
          <w:szCs w:val="18"/>
          <w:lang w:val="en-GB"/>
        </w:rPr>
        <w:t>-</w:t>
      </w:r>
      <w:r w:rsidRPr="003D47BC">
        <w:rPr>
          <w:rFonts w:ascii="Verdana" w:hAnsi="Verdana"/>
          <w:sz w:val="18"/>
          <w:szCs w:val="18"/>
          <w:lang w:val="en-GB"/>
        </w:rPr>
        <w:t>02/90980484 - Fax: 02/92091821</w:t>
      </w:r>
    </w:p>
    <w:p w:rsidR="00CE6E87" w:rsidRPr="003D47BC" w:rsidRDefault="00CE6E87" w:rsidP="00CE6E87">
      <w:pPr>
        <w:pStyle w:val="Default"/>
        <w:jc w:val="center"/>
        <w:rPr>
          <w:rFonts w:ascii="Verdana" w:hAnsi="Verdana" w:cs="Tahoma"/>
          <w:color w:val="auto"/>
          <w:sz w:val="18"/>
          <w:szCs w:val="18"/>
        </w:rPr>
      </w:pPr>
      <w:r w:rsidRPr="003D47BC">
        <w:rPr>
          <w:rFonts w:ascii="Verdana" w:hAnsi="Verdana" w:cs="Tahoma"/>
          <w:color w:val="auto"/>
          <w:sz w:val="18"/>
          <w:szCs w:val="18"/>
          <w:lang w:val="en-GB"/>
        </w:rPr>
        <w:t xml:space="preserve">Cod. Fisc.: 82005050164 - Cod. </w:t>
      </w:r>
      <w:r w:rsidRPr="003D47BC">
        <w:rPr>
          <w:rFonts w:ascii="Verdana" w:hAnsi="Verdana" w:cs="Tahoma"/>
          <w:color w:val="auto"/>
          <w:sz w:val="18"/>
          <w:szCs w:val="18"/>
        </w:rPr>
        <w:t>Mecc</w:t>
      </w:r>
      <w:r>
        <w:rPr>
          <w:rFonts w:ascii="Verdana" w:hAnsi="Verdana" w:cs="Tahoma"/>
          <w:color w:val="auto"/>
          <w:sz w:val="18"/>
          <w:szCs w:val="18"/>
        </w:rPr>
        <w:t>.</w:t>
      </w:r>
      <w:r w:rsidRPr="003D47BC">
        <w:rPr>
          <w:rFonts w:ascii="Verdana" w:hAnsi="Verdana" w:cs="Tahoma"/>
          <w:color w:val="auto"/>
          <w:sz w:val="18"/>
          <w:szCs w:val="18"/>
        </w:rPr>
        <w:t xml:space="preserve">: BGIC83400X - </w:t>
      </w:r>
      <w:r w:rsidRPr="003D47BC">
        <w:rPr>
          <w:rFonts w:ascii="Verdana" w:hAnsi="Verdana"/>
          <w:bCs/>
          <w:color w:val="auto"/>
          <w:sz w:val="18"/>
          <w:szCs w:val="18"/>
        </w:rPr>
        <w:t>Codice Univoco Ufficio: UFJMK6</w:t>
      </w:r>
    </w:p>
    <w:p w:rsidR="00CE6E87" w:rsidRPr="003D47BC" w:rsidRDefault="00CE6E87" w:rsidP="00CE6E87">
      <w:pPr>
        <w:jc w:val="center"/>
        <w:rPr>
          <w:rFonts w:ascii="Verdana" w:hAnsi="Verdana" w:cs="Tahoma"/>
          <w:sz w:val="18"/>
          <w:szCs w:val="18"/>
          <w:lang w:val="fr-FR"/>
        </w:rPr>
      </w:pPr>
      <w:r w:rsidRPr="003D47BC">
        <w:rPr>
          <w:rFonts w:ascii="Verdana" w:hAnsi="Verdana" w:cs="Tahoma"/>
          <w:sz w:val="18"/>
          <w:szCs w:val="18"/>
          <w:lang w:val="fr-FR"/>
        </w:rPr>
        <w:t>Email: bgic83400x@istruzione.it</w:t>
      </w:r>
      <w:r w:rsidRPr="003D47BC">
        <w:rPr>
          <w:rStyle w:val="Collegamentoipertestuale"/>
          <w:rFonts w:ascii="Verdana" w:hAnsi="Verdana" w:cs="Tahoma"/>
          <w:sz w:val="18"/>
          <w:szCs w:val="18"/>
          <w:lang w:val="fr-FR"/>
        </w:rPr>
        <w:t xml:space="preserve"> - </w:t>
      </w:r>
      <w:hyperlink r:id="rId8" w:history="1">
        <w:r w:rsidRPr="003D47BC">
          <w:rPr>
            <w:rStyle w:val="Collegamentoipertestuale"/>
            <w:rFonts w:ascii="Verdana" w:hAnsi="Verdana" w:cs="Tahoma"/>
            <w:sz w:val="18"/>
            <w:szCs w:val="18"/>
            <w:lang w:val="fr-FR"/>
          </w:rPr>
          <w:t>bgic83400x@pec.istruzione.it</w:t>
        </w:r>
      </w:hyperlink>
      <w:r w:rsidRPr="003D47BC">
        <w:rPr>
          <w:rFonts w:ascii="Verdana" w:hAnsi="Verdana" w:cs="Tahoma"/>
          <w:sz w:val="18"/>
          <w:szCs w:val="18"/>
          <w:lang w:val="fr-FR"/>
        </w:rPr>
        <w:t xml:space="preserve">  </w:t>
      </w:r>
      <w:hyperlink r:id="rId9" w:history="1">
        <w:r w:rsidRPr="003D47BC">
          <w:rPr>
            <w:rStyle w:val="Collegamentoipertestuale"/>
            <w:rFonts w:ascii="Verdana" w:hAnsi="Verdana" w:cs="Tahoma"/>
            <w:sz w:val="18"/>
            <w:szCs w:val="18"/>
            <w:lang w:val="fr-FR"/>
          </w:rPr>
          <w:t xml:space="preserve"> </w:t>
        </w:r>
      </w:hyperlink>
      <w:r w:rsidRPr="003D47BC">
        <w:rPr>
          <w:rFonts w:ascii="Verdana" w:hAnsi="Verdana" w:cs="Tahoma"/>
          <w:sz w:val="18"/>
          <w:szCs w:val="18"/>
          <w:lang w:val="fr-FR"/>
        </w:rPr>
        <w:t xml:space="preserve"> </w:t>
      </w:r>
    </w:p>
    <w:p w:rsidR="00CE6E87" w:rsidRPr="003D47BC" w:rsidRDefault="00CE6E87" w:rsidP="00CE6E87">
      <w:pPr>
        <w:jc w:val="center"/>
        <w:rPr>
          <w:rFonts w:ascii="Arial" w:hAnsi="Arial" w:cs="Arial"/>
          <w:lang w:val="en-US"/>
        </w:rPr>
      </w:pPr>
      <w:r w:rsidRPr="003D47BC">
        <w:rPr>
          <w:rFonts w:ascii="Verdana" w:hAnsi="Verdana" w:cs="Tahoma"/>
          <w:sz w:val="18"/>
          <w:szCs w:val="18"/>
          <w:lang w:val="en-US"/>
        </w:rPr>
        <w:t xml:space="preserve">Sito web: </w:t>
      </w:r>
      <w:hyperlink r:id="rId10" w:history="1">
        <w:r w:rsidRPr="003D47BC">
          <w:rPr>
            <w:rStyle w:val="Collegamentoipertestuale"/>
            <w:rFonts w:ascii="Verdana" w:hAnsi="Verdana" w:cs="Tahoma"/>
            <w:sz w:val="18"/>
            <w:szCs w:val="18"/>
            <w:lang w:val="en-US"/>
          </w:rPr>
          <w:t>www.iccapriate.edu.it</w:t>
        </w:r>
      </w:hyperlink>
    </w:p>
    <w:p w:rsidR="00CE6E87" w:rsidRDefault="00CE6E87" w:rsidP="00791CA2">
      <w:pPr>
        <w:suppressAutoHyphens/>
        <w:autoSpaceDE/>
        <w:spacing w:after="200" w:line="276" w:lineRule="auto"/>
        <w:jc w:val="both"/>
        <w:textAlignment w:val="baseline"/>
        <w:rPr>
          <w:rFonts w:asciiTheme="minorHAnsi" w:hAnsiTheme="minorHAnsi"/>
          <w:b/>
          <w:sz w:val="22"/>
          <w:szCs w:val="22"/>
        </w:rPr>
      </w:pPr>
    </w:p>
    <w:p w:rsidR="00821A07" w:rsidRPr="002F014E" w:rsidRDefault="00821A07" w:rsidP="00791CA2">
      <w:pPr>
        <w:suppressAutoHyphens/>
        <w:autoSpaceDE/>
        <w:spacing w:after="200" w:line="276" w:lineRule="auto"/>
        <w:jc w:val="both"/>
        <w:textAlignment w:val="baseline"/>
        <w:rPr>
          <w:rFonts w:asciiTheme="minorHAnsi" w:hAnsiTheme="minorHAnsi"/>
          <w:b/>
          <w:sz w:val="22"/>
          <w:szCs w:val="22"/>
        </w:rPr>
      </w:pPr>
      <w:bookmarkStart w:id="0" w:name="_GoBack"/>
      <w:bookmarkEnd w:id="0"/>
      <w:r w:rsidRPr="002F014E">
        <w:rPr>
          <w:rFonts w:asciiTheme="minorHAnsi" w:hAnsiTheme="minorHAnsi"/>
          <w:b/>
          <w:sz w:val="22"/>
          <w:szCs w:val="22"/>
        </w:rPr>
        <w:t>SCHEDA INDIVIDUAZIONE SOPRANNUMERARI</w:t>
      </w:r>
      <w:r w:rsidR="002F014E" w:rsidRPr="002F014E">
        <w:rPr>
          <w:rFonts w:asciiTheme="minorHAnsi" w:hAnsiTheme="minorHAnsi"/>
          <w:b/>
          <w:sz w:val="22"/>
          <w:szCs w:val="22"/>
        </w:rPr>
        <w:t xml:space="preserve"> - </w:t>
      </w:r>
      <w:r w:rsidRPr="002F014E">
        <w:rPr>
          <w:rFonts w:asciiTheme="minorHAnsi" w:hAnsiTheme="minorHAnsi"/>
          <w:b/>
          <w:sz w:val="22"/>
          <w:szCs w:val="22"/>
        </w:rPr>
        <w:t xml:space="preserve"> PER</w:t>
      </w:r>
      <w:r w:rsidR="006E490D">
        <w:rPr>
          <w:rFonts w:asciiTheme="minorHAnsi" w:hAnsiTheme="minorHAnsi"/>
          <w:b/>
          <w:sz w:val="22"/>
          <w:szCs w:val="22"/>
        </w:rPr>
        <w:t>SONALE ATA - ANNO SCOLASTICO 2020</w:t>
      </w:r>
      <w:r w:rsidRPr="002F014E">
        <w:rPr>
          <w:rFonts w:asciiTheme="minorHAnsi" w:hAnsiTheme="minorHAnsi"/>
          <w:b/>
          <w:sz w:val="22"/>
          <w:szCs w:val="22"/>
        </w:rPr>
        <w:t>/20</w:t>
      </w:r>
      <w:r w:rsidR="006E490D">
        <w:rPr>
          <w:rFonts w:asciiTheme="minorHAnsi" w:hAnsiTheme="minorHAnsi"/>
          <w:b/>
          <w:sz w:val="22"/>
          <w:szCs w:val="22"/>
        </w:rPr>
        <w:t>21</w:t>
      </w:r>
    </w:p>
    <w:p w:rsidR="00821A07" w:rsidRPr="002F014E" w:rsidRDefault="00821A07" w:rsidP="00821A07">
      <w:pPr>
        <w:suppressAutoHyphens/>
        <w:autoSpaceDE/>
        <w:spacing w:after="200" w:line="276" w:lineRule="auto"/>
        <w:jc w:val="right"/>
        <w:textAlignment w:val="baseline"/>
        <w:rPr>
          <w:rFonts w:asciiTheme="minorHAnsi" w:hAnsiTheme="minorHAnsi"/>
        </w:rPr>
      </w:pPr>
      <w:r w:rsidRPr="002F014E">
        <w:rPr>
          <w:rFonts w:asciiTheme="minorHAnsi" w:hAnsiTheme="minorHAnsi"/>
        </w:rPr>
        <w:t xml:space="preserve"> Al Dirigente Scolastico dell’IC di Capriate San Gervasio (BG)</w:t>
      </w:r>
    </w:p>
    <w:p w:rsidR="00821A07" w:rsidRPr="002F014E" w:rsidRDefault="00821A07" w:rsidP="00791CA2">
      <w:pPr>
        <w:suppressAutoHyphens/>
        <w:autoSpaceDE/>
        <w:spacing w:after="200" w:line="276" w:lineRule="auto"/>
        <w:jc w:val="both"/>
        <w:textAlignment w:val="baseline"/>
        <w:rPr>
          <w:rFonts w:asciiTheme="minorHAnsi" w:eastAsia="Calibri" w:hAnsiTheme="minorHAnsi"/>
          <w:b/>
        </w:rPr>
      </w:pPr>
      <w:r w:rsidRPr="002F014E">
        <w:rPr>
          <w:rFonts w:asciiTheme="minorHAnsi" w:hAnsiTheme="minorHAnsi"/>
        </w:rPr>
        <w:t xml:space="preserve"> Il/La sottoscritto/a _________________________________________ nato/a a __</w:t>
      </w:r>
      <w:r w:rsidR="002F014E">
        <w:rPr>
          <w:rFonts w:asciiTheme="minorHAnsi" w:hAnsiTheme="minorHAnsi"/>
        </w:rPr>
        <w:t>__</w:t>
      </w:r>
      <w:r w:rsidRPr="002F014E">
        <w:rPr>
          <w:rFonts w:asciiTheme="minorHAnsi" w:hAnsiTheme="minorHAnsi"/>
        </w:rPr>
        <w:t>___________________________ ( prov. _____ ) il __________________ residente in _______</w:t>
      </w:r>
      <w:r w:rsidR="002F014E" w:rsidRPr="002F014E">
        <w:rPr>
          <w:rFonts w:asciiTheme="minorHAnsi" w:hAnsiTheme="minorHAnsi"/>
        </w:rPr>
        <w:t>___</w:t>
      </w:r>
      <w:r w:rsidRPr="002F014E">
        <w:rPr>
          <w:rFonts w:asciiTheme="minorHAnsi" w:hAnsiTheme="minorHAnsi"/>
        </w:rPr>
        <w:t>______________________  titolare presso la Scuola ____________________________ di  __________________________ dall’ a.s. __________________ immesso in ruolo  con decorrenza giuridica ________</w:t>
      </w:r>
      <w:r w:rsidR="002F014E" w:rsidRPr="002F014E">
        <w:rPr>
          <w:rFonts w:asciiTheme="minorHAnsi" w:hAnsiTheme="minorHAnsi"/>
        </w:rPr>
        <w:t>__</w:t>
      </w:r>
      <w:r w:rsidRPr="002F014E">
        <w:rPr>
          <w:rFonts w:asciiTheme="minorHAnsi" w:hAnsiTheme="minorHAnsi"/>
        </w:rPr>
        <w:t>________ effettiva assunzione in servizio dal ______________________</w:t>
      </w:r>
    </w:p>
    <w:p w:rsidR="00791CA2" w:rsidRPr="002F014E" w:rsidRDefault="00791CA2" w:rsidP="00791CA2">
      <w:pPr>
        <w:suppressAutoHyphens/>
        <w:autoSpaceDE/>
        <w:spacing w:after="200" w:line="276" w:lineRule="auto"/>
        <w:jc w:val="both"/>
        <w:textAlignment w:val="baseline"/>
        <w:rPr>
          <w:rFonts w:asciiTheme="minorHAnsi" w:eastAsia="Calibri" w:hAnsiTheme="minorHAnsi"/>
          <w:b/>
        </w:rPr>
      </w:pPr>
      <w:r w:rsidRPr="002F014E">
        <w:rPr>
          <w:rFonts w:asciiTheme="minorHAnsi" w:eastAsia="Calibri" w:hAnsiTheme="minorHAnsi"/>
          <w:b/>
        </w:rPr>
        <w:t>I - ANZIANITÀ DI SERVIZIO: ( F )</w:t>
      </w:r>
    </w:p>
    <w:tbl>
      <w:tblPr>
        <w:tblW w:w="10559" w:type="dxa"/>
        <w:tblLayout w:type="fixed"/>
        <w:tblCellMar>
          <w:left w:w="10" w:type="dxa"/>
          <w:right w:w="10" w:type="dxa"/>
        </w:tblCellMar>
        <w:tblLook w:val="0000" w:firstRow="0" w:lastRow="0" w:firstColumn="0" w:lastColumn="0" w:noHBand="0" w:noVBand="0"/>
      </w:tblPr>
      <w:tblGrid>
        <w:gridCol w:w="7583"/>
        <w:gridCol w:w="992"/>
        <w:gridCol w:w="992"/>
        <w:gridCol w:w="992"/>
      </w:tblGrid>
      <w:tr w:rsidR="00662AB3" w:rsidRPr="00791CA2" w:rsidTr="00662AB3">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821A07">
            <w:pPr>
              <w:suppressAutoHyphens/>
              <w:autoSpaceDE/>
              <w:spacing w:after="200" w:line="276" w:lineRule="auto"/>
              <w:ind w:left="-426" w:firstLine="426"/>
              <w:jc w:val="both"/>
              <w:textAlignment w:val="baseline"/>
              <w:rPr>
                <w:rFonts w:ascii="Calibri" w:eastAsia="Calibri" w:hAnsi="Calibri"/>
              </w:rPr>
            </w:pPr>
            <w:r w:rsidRPr="00791CA2">
              <w:rPr>
                <w:rFonts w:ascii="Calibri" w:eastAsia="Calibri" w:hAnsi="Calibri"/>
              </w:rPr>
              <w:t>Tipo di servizio</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662AB3">
            <w:pPr>
              <w:suppressAutoHyphens/>
              <w:autoSpaceDE/>
              <w:spacing w:after="200" w:line="276" w:lineRule="auto"/>
              <w:jc w:val="center"/>
              <w:textAlignment w:val="baseline"/>
              <w:rPr>
                <w:rFonts w:ascii="Calibri" w:eastAsia="Calibri" w:hAnsi="Calibri"/>
              </w:rPr>
            </w:pPr>
            <w:r>
              <w:rPr>
                <w:rFonts w:ascii="Calibri" w:eastAsia="Calibri" w:hAnsi="Calibri"/>
              </w:rPr>
              <w:t>Mesi/Anni</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662AB3">
            <w:pPr>
              <w:suppressAutoHyphens/>
              <w:autoSpaceDE/>
              <w:spacing w:after="200" w:line="276" w:lineRule="auto"/>
              <w:jc w:val="center"/>
              <w:textAlignment w:val="baseline"/>
              <w:rPr>
                <w:rFonts w:ascii="Calibri" w:eastAsia="Calibri" w:hAnsi="Calibri"/>
              </w:rPr>
            </w:pPr>
            <w:r w:rsidRPr="00791CA2">
              <w:rPr>
                <w:rFonts w:ascii="Calibri" w:eastAsia="Calibri" w:hAnsi="Calibri"/>
              </w:rPr>
              <w:t>Punteggio</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662AB3">
            <w:pPr>
              <w:suppressAutoHyphens/>
              <w:autoSpaceDE/>
              <w:spacing w:after="200" w:line="276" w:lineRule="auto"/>
              <w:jc w:val="center"/>
              <w:textAlignment w:val="baseline"/>
              <w:rPr>
                <w:rFonts w:ascii="Calibri" w:eastAsia="Calibri" w:hAnsi="Calibri"/>
              </w:rPr>
            </w:pPr>
            <w:r>
              <w:rPr>
                <w:rFonts w:ascii="Calibri" w:eastAsia="Calibri" w:hAnsi="Calibri"/>
              </w:rPr>
              <w:t>Riservato al D.S.</w:t>
            </w:r>
          </w:p>
        </w:tc>
      </w:tr>
      <w:tr w:rsidR="00662AB3" w:rsidRPr="00791CA2" w:rsidTr="00662AB3">
        <w:trPr>
          <w:trHeight w:val="1147"/>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rPr>
            </w:pPr>
            <w:r w:rsidRPr="00791CA2">
              <w:rPr>
                <w:rFonts w:ascii="Calibri" w:eastAsia="Calibri" w:hAnsi="Calibri"/>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r>
              <w:rPr>
                <w:rFonts w:ascii="Calibri" w:eastAsia="Calibri" w:hAnsi="Calibri"/>
              </w:rPr>
              <w:t xml:space="preserve">              </w:t>
            </w:r>
            <w:r w:rsidRPr="004F2D6F">
              <w:rPr>
                <w:rFonts w:ascii="Calibri" w:eastAsia="Calibri" w:hAnsi="Calibri"/>
                <w:b/>
              </w:rPr>
              <w:t>Punti 2</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rPr>
          <w:trHeight w:val="1557"/>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r>
              <w:rPr>
                <w:rFonts w:ascii="Calibri" w:eastAsia="Calibri" w:hAnsi="Calibri"/>
              </w:rPr>
              <w:t xml:space="preserve">       </w:t>
            </w:r>
            <w:r w:rsidRPr="004F2D6F">
              <w:rPr>
                <w:rFonts w:ascii="Calibri" w:eastAsia="Calibri" w:hAnsi="Calibri"/>
                <w:b/>
              </w:rPr>
              <w:t>Punti 2</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rPr>
          <w:trHeight w:val="6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rPr>
            </w:pPr>
            <w:r w:rsidRPr="00791CA2">
              <w:rPr>
                <w:rFonts w:ascii="Calibri" w:eastAsia="Calibri" w:hAnsi="Calibri"/>
              </w:rPr>
              <w:t>B) per ogni mese o frazione superiore a 15 giorni di servizio non di ruolo o di altro servizio  riconosciut</w:t>
            </w:r>
            <w:r>
              <w:rPr>
                <w:rFonts w:ascii="Calibri" w:eastAsia="Calibri" w:hAnsi="Calibri"/>
              </w:rPr>
              <w:t>o o riconoscibile (3) (11) (a)</w:t>
            </w:r>
            <w:r w:rsidRPr="00791CA2">
              <w:rPr>
                <w:rFonts w:ascii="Calibri" w:eastAsia="Calibri" w:hAnsi="Calibri"/>
              </w:rPr>
              <w:t xml:space="preserve"> </w:t>
            </w:r>
            <w:r>
              <w:rPr>
                <w:rFonts w:ascii="Calibri" w:eastAsia="Calibri" w:hAnsi="Calibri"/>
              </w:rPr>
              <w:t xml:space="preserve">      </w:t>
            </w:r>
            <w:r w:rsidRPr="004F2D6F">
              <w:rPr>
                <w:rFonts w:ascii="Calibri" w:eastAsia="Calibri" w:hAnsi="Calibri"/>
                <w:b/>
              </w:rPr>
              <w:t>Punti 1</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B1)  per ogni mese o frazione superiore a 15 giorni di servizio non di ruolo o di altro servizio  riconosciuto o riconoscibile effettivamente prestato in scuole o istituti situati nelle piccole isole in aggiunta al punteggio d</w:t>
            </w:r>
            <w:r>
              <w:rPr>
                <w:rFonts w:ascii="Calibri" w:eastAsia="Calibri" w:hAnsi="Calibri"/>
              </w:rPr>
              <w:t xml:space="preserve">i cui al punto B) (3) (11) (a)        </w:t>
            </w:r>
            <w:r w:rsidRPr="00791CA2">
              <w:rPr>
                <w:rFonts w:ascii="Calibri" w:eastAsia="Calibri" w:hAnsi="Calibri"/>
              </w:rPr>
              <w:t xml:space="preserve"> </w:t>
            </w:r>
            <w:r w:rsidRPr="004F2D6F">
              <w:rPr>
                <w:rFonts w:ascii="Calibri" w:eastAsia="Calibri" w:hAnsi="Calibri"/>
                <w:b/>
              </w:rPr>
              <w:t>Punti 1</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rPr>
            </w:pPr>
            <w:r w:rsidRPr="00791CA2">
              <w:rPr>
                <w:rFonts w:ascii="Calibri" w:eastAsia="Calibri" w:hAnsi="Calibri"/>
              </w:rPr>
              <w:t>C) per ogni anno o frazione superiore ai 6 mesi di servizio di ruolo  effettivamente prestato  a qualsiasi titolo in Pubbliche Amministraz</w:t>
            </w:r>
            <w:r>
              <w:rPr>
                <w:rFonts w:ascii="Calibri" w:eastAsia="Calibri" w:hAnsi="Calibri"/>
              </w:rPr>
              <w:t xml:space="preserve">ioni o negli Enti Locali  (b)       </w:t>
            </w:r>
            <w:r w:rsidRPr="004F2D6F">
              <w:rPr>
                <w:rFonts w:ascii="Calibri" w:eastAsia="Calibri" w:hAnsi="Calibri"/>
                <w:b/>
              </w:rPr>
              <w:t>Punti 1</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rPr>
          <w:trHeight w:val="1728"/>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Default="00662AB3" w:rsidP="004F2D6F">
            <w:pPr>
              <w:suppressAutoHyphens/>
              <w:autoSpaceDE/>
              <w:spacing w:line="0" w:lineRule="atLeast"/>
              <w:jc w:val="both"/>
              <w:textAlignment w:val="baseline"/>
              <w:rPr>
                <w:rFonts w:ascii="Calibri" w:eastAsia="Calibri" w:hAnsi="Calibri"/>
              </w:rPr>
            </w:pPr>
            <w:r w:rsidRPr="00791CA2">
              <w:rPr>
                <w:rFonts w:ascii="Calibri" w:eastAsia="Calibri" w:hAnsi="Calibri"/>
              </w:rPr>
              <w:lastRenderedPageBreak/>
              <w:t>D) per ogni anno intero di servizio prestato nel profilo di appartenenza senza soluzione di continuità per almeno un triennio nella scuola di attuale titolarità (4) (11) (in aggiunta a quello previsto dalle lettere A) e B) (c) (d)</w:t>
            </w:r>
          </w:p>
          <w:p w:rsidR="00662AB3" w:rsidRPr="00791CA2" w:rsidRDefault="00662AB3" w:rsidP="004F2D6F">
            <w:pPr>
              <w:suppressAutoHyphens/>
              <w:autoSpaceDE/>
              <w:spacing w:line="0" w:lineRule="atLeast"/>
              <w:jc w:val="both"/>
              <w:textAlignment w:val="baseline"/>
              <w:rPr>
                <w:rFonts w:ascii="Calibri" w:eastAsia="Calibri" w:hAnsi="Calibri"/>
              </w:rPr>
            </w:pPr>
            <w:r w:rsidRPr="00791CA2">
              <w:rPr>
                <w:rFonts w:ascii="Calibri" w:eastAsia="Calibri" w:hAnsi="Calibri"/>
              </w:rPr>
              <w:t xml:space="preserve">entro il quinquennio </w:t>
            </w:r>
            <w:r>
              <w:rPr>
                <w:rFonts w:ascii="Calibri" w:eastAsia="Calibri" w:hAnsi="Calibri"/>
              </w:rPr>
              <w:t xml:space="preserve">       </w:t>
            </w:r>
            <w:r w:rsidRPr="004F2D6F">
              <w:rPr>
                <w:rFonts w:ascii="Calibri" w:eastAsia="Calibri" w:hAnsi="Calibri"/>
                <w:b/>
              </w:rPr>
              <w:t>Punti 8</w:t>
            </w:r>
          </w:p>
          <w:p w:rsidR="00662AB3" w:rsidRPr="00791CA2" w:rsidRDefault="00662AB3" w:rsidP="004F2D6F">
            <w:pPr>
              <w:suppressAutoHyphens/>
              <w:autoSpaceDE/>
              <w:spacing w:line="0" w:lineRule="atLeast"/>
              <w:jc w:val="both"/>
              <w:textAlignment w:val="baseline"/>
              <w:rPr>
                <w:rFonts w:ascii="Calibri" w:eastAsia="Calibri" w:hAnsi="Calibri"/>
              </w:rPr>
            </w:pPr>
            <w:r w:rsidRPr="00791CA2">
              <w:rPr>
                <w:rFonts w:ascii="Calibri" w:eastAsia="Calibri" w:hAnsi="Calibri"/>
              </w:rPr>
              <w:t xml:space="preserve">oltre il  quinquennio </w:t>
            </w:r>
            <w:r>
              <w:rPr>
                <w:rFonts w:ascii="Calibri" w:eastAsia="Calibri" w:hAnsi="Calibri"/>
              </w:rPr>
              <w:t xml:space="preserve">       </w:t>
            </w:r>
            <w:r w:rsidRPr="004F2D6F">
              <w:rPr>
                <w:rFonts w:ascii="Calibri" w:eastAsia="Calibri" w:hAnsi="Calibri"/>
                <w:b/>
              </w:rPr>
              <w:t>Punti 12</w:t>
            </w:r>
          </w:p>
          <w:p w:rsidR="00662AB3" w:rsidRPr="00791CA2" w:rsidRDefault="00662AB3" w:rsidP="004F2D6F">
            <w:pPr>
              <w:suppressAutoHyphens/>
              <w:autoSpaceDE/>
              <w:spacing w:line="0" w:lineRule="atLeast"/>
              <w:jc w:val="both"/>
              <w:textAlignment w:val="baseline"/>
              <w:rPr>
                <w:rFonts w:ascii="Calibri" w:eastAsia="Calibri" w:hAnsi="Calibri"/>
              </w:rPr>
            </w:pPr>
            <w:r w:rsidRPr="00791CA2">
              <w:rPr>
                <w:rFonts w:ascii="Calibri" w:eastAsia="Calibri" w:hAnsi="Calibri"/>
              </w:rPr>
              <w:t>per il servizio prestato nelle piccole isole il punteggio si raddoppia</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rPr>
          <w:trHeight w:val="1271"/>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rPr>
            </w:pPr>
            <w:r w:rsidRPr="00791CA2">
              <w:rPr>
                <w:rFonts w:ascii="Calibri" w:eastAsia="Calibri" w:hAnsi="Calibri"/>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r>
              <w:rPr>
                <w:rFonts w:ascii="Calibri" w:eastAsia="Calibri" w:hAnsi="Calibri"/>
              </w:rPr>
              <w:t xml:space="preserve">      </w:t>
            </w:r>
            <w:r w:rsidRPr="004F2D6F">
              <w:rPr>
                <w:rFonts w:ascii="Calibri" w:eastAsia="Calibri" w:hAnsi="Calibri"/>
                <w:b/>
              </w:rPr>
              <w:t>Punti 4</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r w:rsidR="00662AB3" w:rsidRPr="00791CA2" w:rsidTr="00662AB3">
        <w:trPr>
          <w:trHeight w:val="1530"/>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4F2D6F">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r>
              <w:rPr>
                <w:rFonts w:ascii="Calibri" w:eastAsia="Calibri" w:hAnsi="Calibri"/>
              </w:rPr>
              <w:t xml:space="preserve">     </w:t>
            </w:r>
            <w:r w:rsidRPr="004F2D6F">
              <w:rPr>
                <w:rFonts w:ascii="Calibri" w:eastAsia="Calibri" w:hAnsi="Calibri"/>
                <w:b/>
              </w:rPr>
              <w:t>Punti 40</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eastAsia="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p w:rsidR="00662AB3" w:rsidRPr="00791CA2" w:rsidRDefault="00662AB3" w:rsidP="00791CA2">
            <w:pPr>
              <w:suppressAutoHyphens/>
              <w:autoSpaceDE/>
              <w:spacing w:after="200" w:line="276" w:lineRule="auto"/>
              <w:jc w:val="both"/>
              <w:textAlignment w:val="baseline"/>
              <w:rPr>
                <w:rFonts w:ascii="Calibri" w:eastAsia="Calibri" w:hAnsi="Calibri"/>
              </w:rPr>
            </w:pPr>
          </w:p>
        </w:tc>
      </w:tr>
    </w:tbl>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 Tale servizio è riconosciuto sia al personale ATA già statale, che a quello proveniente dagli Enti Locali: per quest’ultimo personale, ovviamente, non deve essere di nuovo valutato il servizio di cui alla lettera A) e B).</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r w:rsidR="00662AB3">
        <w:rPr>
          <w:rFonts w:ascii="Calibri" w:eastAsia="Calibri" w:hAnsi="Calibri"/>
        </w:rPr>
        <w:t xml:space="preserve"> </w:t>
      </w:r>
      <w:r w:rsidRPr="00791CA2">
        <w:rPr>
          <w:rFonts w:ascii="Calibri" w:eastAsia="Calibri" w:hAnsi="Calibri"/>
        </w:rPr>
        <w:t>Ai fini della maturazione una tantum del punteggio è utile un triennio compreso nel periodo intercorrente tra le domande di mobilità per l’a.s. 2000/2001 e quelle per l’anno scolastico 2007/2008.</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Con le domande di mobilità per l’anno scolastico 2007/2008 si è, infatti, concluso il periodo utile per l’acquisizione del punteggio aggiuntivo a seguito della maturazione del triennio.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662AB3" w:rsidRDefault="00791CA2" w:rsidP="00662AB3">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punteggio viene, inoltre,  riconosciuto anche a coloro che, nel suddetto periodo, hanno presentato in ambito provinciale:</w:t>
      </w:r>
    </w:p>
    <w:p w:rsidR="00791CA2" w:rsidRPr="00662AB3" w:rsidRDefault="00791CA2" w:rsidP="00662AB3">
      <w:pPr>
        <w:pStyle w:val="Paragrafoelenco"/>
        <w:numPr>
          <w:ilvl w:val="0"/>
          <w:numId w:val="31"/>
        </w:numPr>
        <w:suppressAutoHyphens/>
        <w:spacing w:after="0" w:line="240" w:lineRule="auto"/>
        <w:ind w:left="714" w:hanging="357"/>
        <w:jc w:val="both"/>
        <w:textAlignment w:val="baseline"/>
        <w:rPr>
          <w:rFonts w:ascii="Calibri" w:eastAsia="Calibri" w:hAnsi="Calibri"/>
          <w:sz w:val="20"/>
          <w:szCs w:val="20"/>
        </w:rPr>
      </w:pPr>
      <w:r w:rsidRPr="00662AB3">
        <w:rPr>
          <w:rFonts w:ascii="Calibri" w:eastAsia="Calibri" w:hAnsi="Calibri"/>
          <w:sz w:val="20"/>
          <w:szCs w:val="20"/>
        </w:rPr>
        <w:t>domanda condizionata di trasferimento in quanto individuati soprannumerari;</w:t>
      </w:r>
    </w:p>
    <w:p w:rsidR="00791CA2" w:rsidRPr="00662AB3" w:rsidRDefault="00791CA2" w:rsidP="00662AB3">
      <w:pPr>
        <w:numPr>
          <w:ilvl w:val="0"/>
          <w:numId w:val="23"/>
        </w:numPr>
        <w:suppressAutoHyphens/>
        <w:autoSpaceDE/>
        <w:ind w:left="714" w:hanging="357"/>
        <w:jc w:val="both"/>
        <w:textAlignment w:val="baseline"/>
        <w:rPr>
          <w:rFonts w:ascii="Calibri" w:eastAsia="Calibri" w:hAnsi="Calibri"/>
        </w:rPr>
      </w:pPr>
      <w:r w:rsidRPr="00662AB3">
        <w:rPr>
          <w:rFonts w:ascii="Calibri" w:eastAsia="Calibri" w:hAnsi="Calibri"/>
        </w:rPr>
        <w:t>domanda di rientro nella scuola di precedente titolarità nel quinquennio di fruizione del diritto alla precedenza di cui ai punti II e IV dell’art. 47, comma 1 del CCNI.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punteggio, una volta acquisito, si perde esclusivamente nel caso in cui si ottenga, a seguito di domanda volontaria in ambito provinciale, il trasferimento, il passaggio o l’assegnazione provvisoria.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47, comma 1 del CCNI, il rientro nella scuola o nel comune di precedente titolarità, il trasferimento per altre preferenze espresse nella domanda o l’assegnazione provvisoria.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Analogamente non perde il riconoscimento del punteggio aggiuntivo il personale trasferito d’ufficio o a domanda condizionata che nel periodo di cui sopra non chiede il rientro nella scuola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In ogni caso la sola presentazione della domanda di mobilità, anche in ambito provinciale, non determina la perdita del punteggio aggiuntivo una volta che lo stesso è stato acquisito.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791CA2" w:rsidRPr="00662AB3" w:rsidRDefault="00791CA2" w:rsidP="00791CA2">
      <w:pPr>
        <w:pageBreakBefore/>
        <w:suppressAutoHyphens/>
        <w:autoSpaceDE/>
        <w:spacing w:after="200" w:line="276" w:lineRule="auto"/>
        <w:jc w:val="both"/>
        <w:textAlignment w:val="baseline"/>
        <w:rPr>
          <w:rFonts w:ascii="Calibri" w:eastAsia="Calibri" w:hAnsi="Calibri"/>
          <w:b/>
          <w:sz w:val="22"/>
          <w:szCs w:val="22"/>
          <w:lang w:eastAsia="en-US"/>
        </w:rPr>
      </w:pPr>
      <w:r w:rsidRPr="00662AB3">
        <w:rPr>
          <w:rFonts w:ascii="Calibri" w:eastAsia="Calibri" w:hAnsi="Calibri"/>
          <w:b/>
        </w:rPr>
        <w:lastRenderedPageBreak/>
        <w:t>II - ESIGENZE DI FAMIGLIA (4TER) (5) (5 bis):</w:t>
      </w:r>
    </w:p>
    <w:tbl>
      <w:tblPr>
        <w:tblW w:w="10559" w:type="dxa"/>
        <w:tblLayout w:type="fixed"/>
        <w:tblCellMar>
          <w:left w:w="10" w:type="dxa"/>
          <w:right w:w="10" w:type="dxa"/>
        </w:tblCellMar>
        <w:tblLook w:val="0000" w:firstRow="0" w:lastRow="0" w:firstColumn="0" w:lastColumn="0" w:noHBand="0" w:noVBand="0"/>
      </w:tblPr>
      <w:tblGrid>
        <w:gridCol w:w="7583"/>
        <w:gridCol w:w="992"/>
        <w:gridCol w:w="992"/>
        <w:gridCol w:w="992"/>
      </w:tblGrid>
      <w:tr w:rsidR="00662AB3" w:rsidRPr="00791CA2" w:rsidTr="00662AB3">
        <w:trPr>
          <w:trHeight w:val="586"/>
        </w:trPr>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r w:rsidRPr="00791CA2">
              <w:rPr>
                <w:rFonts w:ascii="Calibri" w:hAnsi="Calibri"/>
              </w:rPr>
              <w:t>Tipo di esigenza</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821A07">
            <w:pPr>
              <w:suppressAutoHyphens/>
              <w:autoSpaceDE/>
              <w:spacing w:after="200" w:line="276" w:lineRule="auto"/>
              <w:jc w:val="center"/>
              <w:textAlignment w:val="baseline"/>
              <w:rPr>
                <w:rFonts w:ascii="Calibri" w:eastAsia="Calibri" w:hAnsi="Calibri"/>
              </w:rPr>
            </w:pPr>
            <w:r>
              <w:rPr>
                <w:rFonts w:ascii="Calibri" w:eastAsia="Calibri" w:hAnsi="Calibri"/>
              </w:rPr>
              <w:t>Unità</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821A07">
            <w:pPr>
              <w:suppressAutoHyphens/>
              <w:autoSpaceDE/>
              <w:spacing w:after="200" w:line="276" w:lineRule="auto"/>
              <w:jc w:val="center"/>
              <w:textAlignment w:val="baseline"/>
              <w:rPr>
                <w:rFonts w:ascii="Calibri" w:eastAsia="Calibri" w:hAnsi="Calibri"/>
              </w:rPr>
            </w:pPr>
            <w:r w:rsidRPr="00791CA2">
              <w:rPr>
                <w:rFonts w:ascii="Calibri" w:eastAsia="Calibri" w:hAnsi="Calibri"/>
              </w:rPr>
              <w:t>Punteggio</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821A07">
            <w:pPr>
              <w:suppressAutoHyphens/>
              <w:autoSpaceDE/>
              <w:spacing w:after="200" w:line="276" w:lineRule="auto"/>
              <w:jc w:val="center"/>
              <w:textAlignment w:val="baseline"/>
              <w:rPr>
                <w:rFonts w:ascii="Calibri" w:eastAsia="Calibri" w:hAnsi="Calibri"/>
              </w:rPr>
            </w:pPr>
            <w:r>
              <w:rPr>
                <w:rFonts w:ascii="Calibri" w:eastAsia="Calibri" w:hAnsi="Calibri"/>
              </w:rPr>
              <w:t>Riservato al D.S.</w:t>
            </w:r>
          </w:p>
        </w:tc>
      </w:tr>
      <w:tr w:rsidR="00662AB3" w:rsidRPr="00791CA2" w:rsidTr="00662AB3">
        <w:trPr>
          <w:trHeight w:val="1213"/>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r w:rsidRPr="00791CA2">
              <w:rPr>
                <w:rFonts w:ascii="Calibri" w:hAnsi="Calibri"/>
              </w:rPr>
              <w:t>A) per ricongiungimento o riavvicinamento al coniuge ovvero, nel caso di personale senza coniuge o separato giudizialmente o consensualmente con atto omologato dal tribunale, per ricongiungimento o riavvicinamento ai genitori o ai figli (5)</w:t>
            </w:r>
            <w:r>
              <w:rPr>
                <w:rFonts w:ascii="Calibri" w:hAnsi="Calibri"/>
              </w:rPr>
              <w:t xml:space="preserve">        </w:t>
            </w:r>
            <w:r w:rsidRPr="00791CA2">
              <w:rPr>
                <w:rFonts w:ascii="Calibri" w:hAnsi="Calibri"/>
              </w:rPr>
              <w:t xml:space="preserve"> </w:t>
            </w:r>
            <w:r w:rsidRPr="00662AB3">
              <w:rPr>
                <w:rFonts w:ascii="Calibri" w:hAnsi="Calibri"/>
                <w:b/>
              </w:rPr>
              <w:t>Punti  24</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tc>
      </w:tr>
      <w:tr w:rsidR="00662AB3" w:rsidRPr="00791CA2" w:rsidTr="00662AB3">
        <w:trPr>
          <w:trHeight w:val="565"/>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r w:rsidRPr="00791CA2">
              <w:rPr>
                <w:rFonts w:ascii="Calibri" w:hAnsi="Calibri"/>
              </w:rPr>
              <w:t>B) per ogni figlio di età inferiore a sei anni  (6)</w:t>
            </w:r>
            <w:r>
              <w:rPr>
                <w:rFonts w:ascii="Calibri" w:hAnsi="Calibri"/>
              </w:rPr>
              <w:t xml:space="preserve">       </w:t>
            </w:r>
            <w:r w:rsidRPr="00791CA2">
              <w:rPr>
                <w:rFonts w:ascii="Calibri" w:hAnsi="Calibri"/>
              </w:rPr>
              <w:t xml:space="preserve"> </w:t>
            </w:r>
            <w:r w:rsidRPr="00662AB3">
              <w:rPr>
                <w:rFonts w:ascii="Calibri" w:hAnsi="Calibri"/>
                <w:b/>
              </w:rPr>
              <w:t>Punti 16</w:t>
            </w: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tc>
      </w:tr>
      <w:tr w:rsidR="00662AB3" w:rsidRPr="00791CA2" w:rsidTr="00662AB3">
        <w:trPr>
          <w:trHeight w:val="970"/>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662AB3">
            <w:pPr>
              <w:suppressAutoHyphens/>
              <w:autoSpaceDE/>
              <w:spacing w:after="200" w:line="276" w:lineRule="auto"/>
              <w:jc w:val="both"/>
              <w:textAlignment w:val="baseline"/>
              <w:rPr>
                <w:rFonts w:ascii="Calibri" w:hAnsi="Calibri"/>
              </w:rPr>
            </w:pPr>
            <w:r w:rsidRPr="00791CA2">
              <w:rPr>
                <w:rFonts w:ascii="Calibri" w:hAnsi="Calibri"/>
              </w:rPr>
              <w:t>C) per ogni figlio di età superiore ai sei anni, ma che non abbia superato il diciottesimo anno di età (6) ovvero per ogni figlio maggiorenne che risulti totalmente o permanentemente inabile a proficuo lavoro</w:t>
            </w:r>
            <w:r>
              <w:rPr>
                <w:rFonts w:ascii="Calibri" w:hAnsi="Calibri"/>
              </w:rPr>
              <w:t xml:space="preserve">        </w:t>
            </w:r>
            <w:r w:rsidRPr="00791CA2">
              <w:rPr>
                <w:rFonts w:ascii="Calibri" w:hAnsi="Calibri"/>
              </w:rPr>
              <w:t xml:space="preserve"> </w:t>
            </w:r>
            <w:r w:rsidRPr="00662AB3">
              <w:rPr>
                <w:rFonts w:ascii="Calibri" w:hAnsi="Calibri"/>
                <w:b/>
              </w:rPr>
              <w:t>Punti  12</w:t>
            </w: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tc>
      </w:tr>
      <w:tr w:rsidR="00662AB3" w:rsidRPr="00791CA2" w:rsidTr="00662AB3">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662AB3">
            <w:pPr>
              <w:suppressAutoHyphens/>
              <w:autoSpaceDE/>
              <w:spacing w:after="200" w:line="276" w:lineRule="auto"/>
              <w:jc w:val="both"/>
              <w:textAlignment w:val="baseline"/>
              <w:rPr>
                <w:rFonts w:ascii="Calibri" w:hAnsi="Calibri"/>
              </w:rPr>
            </w:pPr>
            <w:r w:rsidRPr="00791CA2">
              <w:rPr>
                <w:rFonts w:ascii="Calibri" w:hAnsi="Calibri"/>
              </w:rPr>
              <w:t xml:space="preserve">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r>
              <w:rPr>
                <w:rFonts w:ascii="Calibri" w:hAnsi="Calibri"/>
              </w:rPr>
              <w:t xml:space="preserve">         </w:t>
            </w:r>
            <w:r w:rsidRPr="00662AB3">
              <w:rPr>
                <w:rFonts w:ascii="Calibri" w:hAnsi="Calibri"/>
                <w:b/>
              </w:rPr>
              <w:t>Punti  24</w:t>
            </w: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tc>
      </w:tr>
    </w:tbl>
    <w:p w:rsidR="00791CA2" w:rsidRPr="00791CA2" w:rsidRDefault="00791CA2" w:rsidP="00791CA2">
      <w:pPr>
        <w:suppressAutoHyphens/>
        <w:autoSpaceDE/>
        <w:spacing w:after="200" w:line="276" w:lineRule="auto"/>
        <w:jc w:val="both"/>
        <w:textAlignment w:val="baseline"/>
        <w:rPr>
          <w:rFonts w:ascii="Calibri" w:hAnsi="Calibri"/>
        </w:rPr>
      </w:pPr>
    </w:p>
    <w:p w:rsidR="00791CA2" w:rsidRPr="00662AB3" w:rsidRDefault="00791CA2" w:rsidP="00791CA2">
      <w:pPr>
        <w:suppressAutoHyphens/>
        <w:autoSpaceDE/>
        <w:spacing w:after="200" w:line="276" w:lineRule="auto"/>
        <w:jc w:val="both"/>
        <w:textAlignment w:val="baseline"/>
        <w:rPr>
          <w:rFonts w:ascii="Calibri" w:eastAsia="Calibri" w:hAnsi="Calibri"/>
          <w:b/>
        </w:rPr>
      </w:pPr>
      <w:r w:rsidRPr="00662AB3">
        <w:rPr>
          <w:rFonts w:ascii="Calibri" w:eastAsia="Calibri" w:hAnsi="Calibri"/>
          <w:b/>
        </w:rPr>
        <w:t>III - TITOLI GENERALI</w:t>
      </w:r>
    </w:p>
    <w:tbl>
      <w:tblPr>
        <w:tblW w:w="10559" w:type="dxa"/>
        <w:tblLayout w:type="fixed"/>
        <w:tblCellMar>
          <w:left w:w="10" w:type="dxa"/>
          <w:right w:w="10" w:type="dxa"/>
        </w:tblCellMar>
        <w:tblLook w:val="0000" w:firstRow="0" w:lastRow="0" w:firstColumn="0" w:lastColumn="0" w:noHBand="0" w:noVBand="0"/>
      </w:tblPr>
      <w:tblGrid>
        <w:gridCol w:w="7583"/>
        <w:gridCol w:w="992"/>
        <w:gridCol w:w="992"/>
        <w:gridCol w:w="992"/>
      </w:tblGrid>
      <w:tr w:rsidR="00662AB3" w:rsidRPr="00791CA2" w:rsidTr="00662AB3">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r w:rsidRPr="00791CA2">
              <w:rPr>
                <w:rFonts w:ascii="Calibri" w:hAnsi="Calibri"/>
              </w:rPr>
              <w:t xml:space="preserve">Tipo di titolo </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821A07">
            <w:pPr>
              <w:suppressAutoHyphens/>
              <w:autoSpaceDE/>
              <w:spacing w:after="200" w:line="276" w:lineRule="auto"/>
              <w:jc w:val="center"/>
              <w:textAlignment w:val="baseline"/>
              <w:rPr>
                <w:rFonts w:ascii="Calibri" w:eastAsia="Calibri" w:hAnsi="Calibri"/>
              </w:rPr>
            </w:pPr>
            <w:r>
              <w:rPr>
                <w:rFonts w:ascii="Calibri" w:eastAsia="Calibri" w:hAnsi="Calibri"/>
              </w:rPr>
              <w:t>Unità</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Pr>
          <w:p w:rsidR="00662AB3" w:rsidRPr="00791CA2" w:rsidRDefault="00662AB3" w:rsidP="00821A07">
            <w:pPr>
              <w:suppressAutoHyphens/>
              <w:autoSpaceDE/>
              <w:spacing w:after="200" w:line="276" w:lineRule="auto"/>
              <w:jc w:val="center"/>
              <w:textAlignment w:val="baseline"/>
              <w:rPr>
                <w:rFonts w:ascii="Calibri" w:eastAsia="Calibri" w:hAnsi="Calibri"/>
              </w:rPr>
            </w:pPr>
            <w:r w:rsidRPr="00791CA2">
              <w:rPr>
                <w:rFonts w:ascii="Calibri" w:eastAsia="Calibri" w:hAnsi="Calibri"/>
              </w:rPr>
              <w:t>Punteggio</w:t>
            </w:r>
          </w:p>
        </w:tc>
        <w:tc>
          <w:tcPr>
            <w:tcW w:w="992"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662AB3" w:rsidRPr="00791CA2" w:rsidRDefault="00662AB3" w:rsidP="00821A07">
            <w:pPr>
              <w:suppressAutoHyphens/>
              <w:autoSpaceDE/>
              <w:spacing w:after="200" w:line="276" w:lineRule="auto"/>
              <w:jc w:val="center"/>
              <w:textAlignment w:val="baseline"/>
              <w:rPr>
                <w:rFonts w:ascii="Calibri" w:eastAsia="Calibri" w:hAnsi="Calibri"/>
              </w:rPr>
            </w:pPr>
            <w:r>
              <w:rPr>
                <w:rFonts w:ascii="Calibri" w:eastAsia="Calibri" w:hAnsi="Calibri"/>
              </w:rPr>
              <w:t>Riservato al D.S.</w:t>
            </w:r>
          </w:p>
        </w:tc>
      </w:tr>
      <w:tr w:rsidR="00662AB3" w:rsidRPr="00791CA2" w:rsidTr="00662AB3">
        <w:trPr>
          <w:trHeight w:val="7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662AB3">
            <w:pPr>
              <w:suppressAutoHyphens/>
              <w:autoSpaceDE/>
              <w:spacing w:after="200" w:line="276" w:lineRule="auto"/>
              <w:jc w:val="both"/>
              <w:textAlignment w:val="baseline"/>
              <w:rPr>
                <w:rFonts w:ascii="Calibri" w:hAnsi="Calibri"/>
              </w:rPr>
            </w:pPr>
            <w:r w:rsidRPr="00791CA2">
              <w:rPr>
                <w:rFonts w:ascii="Calibri" w:hAnsi="Calibri"/>
              </w:rPr>
              <w:t xml:space="preserve">A) per l'inclusione nella graduatoria di merito di  concorsi per esami per l'accesso al ruolo di  appartenenza (9) </w:t>
            </w:r>
            <w:r>
              <w:rPr>
                <w:rFonts w:ascii="Calibri" w:hAnsi="Calibri"/>
              </w:rPr>
              <w:t xml:space="preserve">             </w:t>
            </w:r>
            <w:r w:rsidRPr="00662AB3">
              <w:rPr>
                <w:rFonts w:ascii="Calibri" w:hAnsi="Calibri"/>
                <w:b/>
              </w:rPr>
              <w:t>Punti  12</w:t>
            </w: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tc>
      </w:tr>
      <w:tr w:rsidR="00662AB3" w:rsidRPr="00791CA2" w:rsidTr="00662AB3">
        <w:trPr>
          <w:trHeight w:val="837"/>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r w:rsidRPr="00791CA2">
              <w:rPr>
                <w:rFonts w:ascii="Calibri" w:hAnsi="Calibri"/>
              </w:rPr>
              <w:t>B) per l'inclusione nella graduatoria di merito di concorsi per esami per l'accesso al ruolo di livello superiore a quello di appartenenza(10)</w:t>
            </w:r>
            <w:r>
              <w:rPr>
                <w:rFonts w:ascii="Calibri" w:hAnsi="Calibri"/>
              </w:rPr>
              <w:t xml:space="preserve">             </w:t>
            </w:r>
            <w:r w:rsidRPr="00791CA2">
              <w:rPr>
                <w:rFonts w:ascii="Calibri" w:hAnsi="Calibri"/>
              </w:rPr>
              <w:t xml:space="preserve"> </w:t>
            </w:r>
            <w:r w:rsidRPr="00662AB3">
              <w:rPr>
                <w:rFonts w:ascii="Calibri" w:hAnsi="Calibri"/>
                <w:b/>
              </w:rPr>
              <w:t>Punti  1</w:t>
            </w:r>
            <w:r>
              <w:rPr>
                <w:rFonts w:ascii="Calibri" w:hAnsi="Calibri"/>
                <w:b/>
              </w:rPr>
              <w:t>2</w:t>
            </w: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tcPr>
          <w:p w:rsidR="00662AB3" w:rsidRPr="00791CA2" w:rsidRDefault="00662AB3" w:rsidP="00791CA2">
            <w:pPr>
              <w:suppressAutoHyphens/>
              <w:autoSpaceDE/>
              <w:spacing w:after="200" w:line="276" w:lineRule="auto"/>
              <w:jc w:val="both"/>
              <w:textAlignment w:val="baseline"/>
              <w:rPr>
                <w:rFonts w:ascii="Calibri" w:hAnsi="Calibri"/>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62AB3" w:rsidRPr="00791CA2" w:rsidRDefault="00662AB3" w:rsidP="00791CA2">
            <w:pPr>
              <w:suppressAutoHyphens/>
              <w:autoSpaceDE/>
              <w:spacing w:after="200" w:line="276" w:lineRule="auto"/>
              <w:jc w:val="both"/>
              <w:textAlignment w:val="baseline"/>
              <w:rPr>
                <w:rFonts w:ascii="Calibri" w:hAnsi="Calibri"/>
              </w:rPr>
            </w:pPr>
          </w:p>
          <w:p w:rsidR="00662AB3" w:rsidRPr="00791CA2" w:rsidRDefault="00662AB3" w:rsidP="00791CA2">
            <w:pPr>
              <w:suppressAutoHyphens/>
              <w:autoSpaceDE/>
              <w:spacing w:after="200" w:line="276" w:lineRule="auto"/>
              <w:jc w:val="both"/>
              <w:textAlignment w:val="baseline"/>
              <w:rPr>
                <w:rFonts w:ascii="Calibri" w:hAnsi="Calibri"/>
              </w:rPr>
            </w:pPr>
          </w:p>
        </w:tc>
      </w:tr>
    </w:tbl>
    <w:p w:rsidR="00791CA2" w:rsidRPr="00791CA2" w:rsidRDefault="00791CA2" w:rsidP="00791CA2">
      <w:pPr>
        <w:suppressAutoHyphens/>
        <w:autoSpaceDE/>
        <w:spacing w:after="200" w:line="276" w:lineRule="auto"/>
        <w:jc w:val="both"/>
        <w:textAlignment w:val="baseline"/>
        <w:rPr>
          <w:rFonts w:ascii="Calibri" w:hAnsi="Calibri"/>
        </w:rPr>
      </w:pPr>
    </w:p>
    <w:p w:rsidR="00791CA2" w:rsidRPr="00662AB3" w:rsidRDefault="00791CA2" w:rsidP="00791CA2">
      <w:pPr>
        <w:suppressAutoHyphens/>
        <w:autoSpaceDE/>
        <w:spacing w:after="200" w:line="276" w:lineRule="auto"/>
        <w:jc w:val="both"/>
        <w:textAlignment w:val="baseline"/>
        <w:rPr>
          <w:rFonts w:ascii="Calibri" w:hAnsi="Calibri"/>
          <w:b/>
        </w:rPr>
      </w:pPr>
      <w:r w:rsidRPr="00662AB3">
        <w:rPr>
          <w:rFonts w:ascii="Calibri" w:hAnsi="Calibri"/>
          <w:b/>
        </w:rPr>
        <w:t>NOTE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Ai fini della validità della certificazione richiesta si richiama quanto disposto dalla legge delle disposizioni contenute nel D.P.R. 28.12.2000, n. 445 e successive modifiche ed integrazioni.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(2) E' valutato il periodo coperto da decorrenza giuridica della nomina purché sia stato prestato effettivo servizio nello stesso profilo professionale. Sono comunque valutati con il punteggio previsto dalla presente voce i seguenti servizi:</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in profilo diverso da quello di appartenenza a seguito di utilizzazione o assegnazione provvisoria;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dal personale inidoneo durante il periodo di collocamento fuori ruolo ai sensi dell’art. 23 – comma 5, del C.C.N.L. sottoscritto il 4 agosto 1995 in mansioni parziali del profilo di appartenenza o in altro profilo comunque coerenti;</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per l’attribuzione del punteggio relativo al  servizio effettivamente prestato nelle scuole o istituti situati nelle piccole isole si prescinde dal requisito della residenza in sede;</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al personale ATA di ruolo collocato in congedo straordinario per motivi di studio senza assegni ai sensi dell'art. 2, della legge 13/08/1984, n. 476, per la frequenza di dottorato di ricerca o in quanto assegna</w:t>
      </w:r>
      <w:r w:rsidRPr="00791CA2">
        <w:rPr>
          <w:rFonts w:ascii="Calibri" w:hAnsi="Calibri"/>
        </w:rPr>
        <w:softHyphen/>
        <w:t>tario di borse di studio da parte di amministrazioni statali, enti pubblici, stati stranieri, enti od organismi internazionali, è valutato con il punteggio previsto dalla presente voce il periodo della durata del corso o della borsa di studio;</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per ogni anno prestato nei Paesi in via di sviluppo il punteggio è raddoppiato.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Non interrompe la maturazione del punteggio del servizio la fruizione del congedo biennale per l’assistenza a familiari con grave disabilità di cui all’art. 5 del D.L.vo n. 151/2001 e successive modifiche ed integrazioni.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(3) La valutazione del servizio pre-ruolo, del servizio di ruolo prestato in carriera inferiore,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Con il punteggio previsto dalla presente voce vanno valutati i seguenti servizi o periodi:</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di ruolo prestato in qualità di docente;</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non di ruolo ed il servizio militare riconosciuto o riconoscibile ai fini della carriera ai sensi dell’art. 569 del Decreto legislativo 297/94 e successive modifiche;</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di ruolo prestato in carriera inferiore.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Sono valutabili anche i servizi il cui riconoscimento sia richiesto da personale ancora in periodo di prova.</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Il periodo di anzianità derivante da decorrenza giuridica della nomina antecedente alla decorrenza econo</w:t>
      </w:r>
      <w:r w:rsidRPr="00791CA2">
        <w:rPr>
          <w:rFonts w:ascii="Calibri" w:hAnsi="Calibri"/>
        </w:rPr>
        <w:softHyphen/>
        <w:t>mica nel caso in cui non sia stato prestato effettivo servizio si valuta per intero.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sidRPr="00791CA2">
        <w:rPr>
          <w:rFonts w:ascii="Calibri" w:hAnsi="Calibri"/>
          <w:b/>
        </w:rPr>
        <w:t xml:space="preserve"> </w:t>
      </w:r>
      <w:r w:rsidRPr="00791CA2">
        <w:rPr>
          <w:rFonts w:ascii="Calibri" w:hAnsi="Calibri"/>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791CA2">
        <w:rPr>
          <w:rFonts w:ascii="Calibri" w:hAnsi="Calibri"/>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sidRPr="00791CA2">
        <w:rPr>
          <w:rFonts w:ascii="Calibri" w:hAnsi="Calibri"/>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Non interrompe, altresì, la continuità del servizio, l’utilizzazione per la sostituzione del DSGA, ai sensi dell’art. ai sensi dell’art. 14 dell’ipotesi del CCNI 13.5.2015, da parte del personale responsabile amministrativo o assistente amministrativo in scuola diversa da quella di titolarità.</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Ai fini della continuità del servizio non si valuta l’anno in corso.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791CA2" w:rsidRPr="00791CA2" w:rsidRDefault="00791CA2" w:rsidP="00791CA2">
      <w:pPr>
        <w:numPr>
          <w:ilvl w:val="0"/>
          <w:numId w:val="26"/>
        </w:numPr>
        <w:suppressAutoHyphens/>
        <w:autoSpaceDE/>
        <w:spacing w:after="200" w:line="276" w:lineRule="auto"/>
        <w:jc w:val="both"/>
        <w:textAlignment w:val="baseline"/>
        <w:rPr>
          <w:rFonts w:ascii="Calibri" w:hAnsi="Calibri"/>
        </w:rPr>
      </w:pPr>
      <w:r w:rsidRPr="00791CA2">
        <w:rPr>
          <w:rFonts w:ascii="Calibri" w:hAnsi="Calibri"/>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791CA2" w:rsidRPr="00791CA2" w:rsidRDefault="00791CA2" w:rsidP="00791CA2">
      <w:pPr>
        <w:numPr>
          <w:ilvl w:val="0"/>
          <w:numId w:val="26"/>
        </w:numPr>
        <w:suppressAutoHyphens/>
        <w:autoSpaceDE/>
        <w:spacing w:after="200" w:line="276" w:lineRule="auto"/>
        <w:jc w:val="both"/>
        <w:textAlignment w:val="baseline"/>
        <w:rPr>
          <w:rFonts w:ascii="Calibri" w:hAnsi="Calibri"/>
        </w:rPr>
      </w:pPr>
      <w:r w:rsidRPr="00791CA2">
        <w:rPr>
          <w:rFonts w:ascii="Calibri" w:hAnsi="Calibri"/>
        </w:rPr>
        <w:t xml:space="preserve">lettera B) e lettera C) valgono sempre; </w:t>
      </w:r>
    </w:p>
    <w:p w:rsidR="00791CA2" w:rsidRPr="00791CA2" w:rsidRDefault="00791CA2" w:rsidP="00791CA2">
      <w:pPr>
        <w:numPr>
          <w:ilvl w:val="0"/>
          <w:numId w:val="26"/>
        </w:num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Il punteggio così calcolato viene utilizzato anche nelle operazioni di trasferimento d’ufficio del soprannumerario.</w:t>
      </w:r>
    </w:p>
    <w:p w:rsidR="00662AB3" w:rsidRDefault="00791CA2" w:rsidP="00791CA2">
      <w:pPr>
        <w:suppressAutoHyphens/>
        <w:autoSpaceDE/>
        <w:spacing w:after="200" w:line="276" w:lineRule="auto"/>
        <w:jc w:val="both"/>
        <w:textAlignment w:val="baseline"/>
        <w:rPr>
          <w:rFonts w:ascii="Calibri" w:hAnsi="Calibri"/>
        </w:rPr>
      </w:pPr>
      <w:r w:rsidRPr="00791CA2">
        <w:rPr>
          <w:rFonts w:ascii="Calibri" w:hAnsi="Calibri"/>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(5 bis) Per i soli trasferimenti a domanda, le situazioni di cui al presente titolo non si valutano per i trasferimenti nell’ambito della stessa sede (per sede si intende “comune”).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 (6) Il punteggio va attribuito anche per i figli che compiono i 6 anni o i 18 anni tra il 1°  gennaio e il 31 dicembre dell'anno in cui si effettua il trasferimento.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(7) La valutazione è attribuita nei seguenti casi:</w:t>
      </w:r>
    </w:p>
    <w:p w:rsidR="00791CA2" w:rsidRPr="00791CA2" w:rsidRDefault="00791CA2" w:rsidP="00791CA2">
      <w:pPr>
        <w:numPr>
          <w:ilvl w:val="0"/>
          <w:numId w:val="27"/>
        </w:numPr>
        <w:suppressAutoHyphens/>
        <w:autoSpaceDE/>
        <w:spacing w:after="200" w:line="276" w:lineRule="auto"/>
        <w:jc w:val="both"/>
        <w:textAlignment w:val="baseline"/>
        <w:rPr>
          <w:rFonts w:ascii="Calibri" w:hAnsi="Calibri"/>
        </w:rPr>
      </w:pPr>
      <w:r w:rsidRPr="00791CA2">
        <w:rPr>
          <w:rFonts w:ascii="Calibri" w:hAnsi="Calibri"/>
        </w:rPr>
        <w:t>figlio minorato ovvero coniuge, o genitore, ricoverati permanentemente in istituto di cura;</w:t>
      </w:r>
    </w:p>
    <w:p w:rsidR="00791CA2" w:rsidRPr="00791CA2" w:rsidRDefault="00791CA2" w:rsidP="00791CA2">
      <w:pPr>
        <w:numPr>
          <w:ilvl w:val="0"/>
          <w:numId w:val="27"/>
        </w:numPr>
        <w:suppressAutoHyphens/>
        <w:autoSpaceDE/>
        <w:spacing w:after="200" w:line="276" w:lineRule="auto"/>
        <w:jc w:val="both"/>
        <w:textAlignment w:val="baseline"/>
        <w:rPr>
          <w:rFonts w:ascii="Calibri" w:hAnsi="Calibri"/>
        </w:rPr>
      </w:pPr>
      <w:r w:rsidRPr="00791CA2">
        <w:rPr>
          <w:rFonts w:ascii="Calibri" w:hAnsi="Calibri"/>
        </w:rPr>
        <w:lastRenderedPageBreak/>
        <w:t>figlio minorato, ovvero coniuge, o genitore, bisognosi di cure continuative presso un istituto di cura tali da comportare la necessità di risiedere nella sede dell'istituto medesimo.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C67563" w:rsidRPr="00791CA2" w:rsidRDefault="00C67563" w:rsidP="00791CA2">
      <w:pPr>
        <w:suppressAutoHyphens/>
        <w:autoSpaceDE/>
        <w:spacing w:after="200" w:line="276" w:lineRule="auto"/>
        <w:jc w:val="both"/>
        <w:textAlignment w:val="baseline"/>
        <w:rPr>
          <w:rFonts w:ascii="Calibri" w:hAnsi="Calibri"/>
        </w:rPr>
      </w:pPr>
    </w:p>
    <w:sectPr w:rsidR="00C67563" w:rsidRPr="00791CA2" w:rsidSect="002F014E">
      <w:pgSz w:w="11906" w:h="1683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68" w:rsidRDefault="00A20F68" w:rsidP="00E159BF">
      <w:r>
        <w:separator/>
      </w:r>
    </w:p>
  </w:endnote>
  <w:endnote w:type="continuationSeparator" w:id="0">
    <w:p w:rsidR="00A20F68" w:rsidRDefault="00A20F68" w:rsidP="00E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68" w:rsidRDefault="00A20F68" w:rsidP="00E159BF">
      <w:r>
        <w:separator/>
      </w:r>
    </w:p>
  </w:footnote>
  <w:footnote w:type="continuationSeparator" w:id="0">
    <w:p w:rsidR="00A20F68" w:rsidRDefault="00A20F68" w:rsidP="00E15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4676F9"/>
    <w:multiLevelType w:val="hybridMultilevel"/>
    <w:tmpl w:val="08AE5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49C0116"/>
    <w:multiLevelType w:val="multilevel"/>
    <w:tmpl w:val="A3E86BC2"/>
    <w:lvl w:ilvl="0">
      <w:numFmt w:val="bullet"/>
      <w:lvlText w:val=""/>
      <w:lvlJc w:val="left"/>
      <w:pPr>
        <w:ind w:left="4471" w:hanging="360"/>
      </w:pPr>
      <w:rPr>
        <w:rFonts w:ascii="Symbol" w:hAnsi="Symbol"/>
      </w:rPr>
    </w:lvl>
    <w:lvl w:ilvl="1">
      <w:numFmt w:val="bullet"/>
      <w:lvlText w:val="o"/>
      <w:lvlJc w:val="left"/>
      <w:pPr>
        <w:ind w:left="5191" w:hanging="360"/>
      </w:pPr>
      <w:rPr>
        <w:rFonts w:ascii="Courier New" w:hAnsi="Courier New" w:cs="Courier New"/>
      </w:rPr>
    </w:lvl>
    <w:lvl w:ilvl="2">
      <w:numFmt w:val="bullet"/>
      <w:lvlText w:val=""/>
      <w:lvlJc w:val="left"/>
      <w:pPr>
        <w:ind w:left="5911" w:hanging="360"/>
      </w:pPr>
      <w:rPr>
        <w:rFonts w:ascii="Wingdings" w:hAnsi="Wingdings"/>
      </w:rPr>
    </w:lvl>
    <w:lvl w:ilvl="3">
      <w:numFmt w:val="bullet"/>
      <w:lvlText w:val=""/>
      <w:lvlJc w:val="left"/>
      <w:pPr>
        <w:ind w:left="6631" w:hanging="360"/>
      </w:pPr>
      <w:rPr>
        <w:rFonts w:ascii="Symbol" w:hAnsi="Symbol"/>
      </w:rPr>
    </w:lvl>
    <w:lvl w:ilvl="4">
      <w:numFmt w:val="bullet"/>
      <w:lvlText w:val="o"/>
      <w:lvlJc w:val="left"/>
      <w:pPr>
        <w:ind w:left="7351" w:hanging="360"/>
      </w:pPr>
      <w:rPr>
        <w:rFonts w:ascii="Courier New" w:hAnsi="Courier New" w:cs="Courier New"/>
      </w:rPr>
    </w:lvl>
    <w:lvl w:ilvl="5">
      <w:numFmt w:val="bullet"/>
      <w:lvlText w:val=""/>
      <w:lvlJc w:val="left"/>
      <w:pPr>
        <w:ind w:left="8071" w:hanging="360"/>
      </w:pPr>
      <w:rPr>
        <w:rFonts w:ascii="Wingdings" w:hAnsi="Wingdings"/>
      </w:rPr>
    </w:lvl>
    <w:lvl w:ilvl="6">
      <w:numFmt w:val="bullet"/>
      <w:lvlText w:val=""/>
      <w:lvlJc w:val="left"/>
      <w:pPr>
        <w:ind w:left="8791" w:hanging="360"/>
      </w:pPr>
      <w:rPr>
        <w:rFonts w:ascii="Symbol" w:hAnsi="Symbol"/>
      </w:rPr>
    </w:lvl>
    <w:lvl w:ilvl="7">
      <w:numFmt w:val="bullet"/>
      <w:lvlText w:val="o"/>
      <w:lvlJc w:val="left"/>
      <w:pPr>
        <w:ind w:left="9511" w:hanging="360"/>
      </w:pPr>
      <w:rPr>
        <w:rFonts w:ascii="Courier New" w:hAnsi="Courier New" w:cs="Courier New"/>
      </w:rPr>
    </w:lvl>
    <w:lvl w:ilvl="8">
      <w:numFmt w:val="bullet"/>
      <w:lvlText w:val=""/>
      <w:lvlJc w:val="left"/>
      <w:pPr>
        <w:ind w:left="10231" w:hanging="360"/>
      </w:pPr>
      <w:rPr>
        <w:rFonts w:ascii="Wingdings" w:hAnsi="Wingdings"/>
      </w:rPr>
    </w:lvl>
  </w:abstractNum>
  <w:abstractNum w:abstractNumId="14"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7"/>
  </w:num>
  <w:num w:numId="3">
    <w:abstractNumId w:val="6"/>
  </w:num>
  <w:num w:numId="4">
    <w:abstractNumId w:val="14"/>
  </w:num>
  <w:num w:numId="5">
    <w:abstractNumId w:val="5"/>
  </w:num>
  <w:num w:numId="6">
    <w:abstractNumId w:val="12"/>
  </w:num>
  <w:num w:numId="7">
    <w:abstractNumId w:val="21"/>
  </w:num>
  <w:num w:numId="8">
    <w:abstractNumId w:val="10"/>
  </w:num>
  <w:num w:numId="9">
    <w:abstractNumId w:val="24"/>
  </w:num>
  <w:num w:numId="10">
    <w:abstractNumId w:val="4"/>
  </w:num>
  <w:num w:numId="11">
    <w:abstractNumId w:val="18"/>
  </w:num>
  <w:num w:numId="12">
    <w:abstractNumId w:val="3"/>
  </w:num>
  <w:num w:numId="13">
    <w:abstractNumId w:val="1"/>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2"/>
  </w:num>
  <w:num w:numId="18">
    <w:abstractNumId w:val="0"/>
  </w:num>
  <w:num w:numId="19">
    <w:abstractNumId w:val="11"/>
  </w:num>
  <w:num w:numId="20">
    <w:abstractNumId w:val="23"/>
  </w:num>
  <w:num w:numId="21">
    <w:abstractNumId w:val="13"/>
  </w:num>
  <w:num w:numId="22">
    <w:abstractNumId w:val="25"/>
  </w:num>
  <w:num w:numId="23">
    <w:abstractNumId w:val="16"/>
  </w:num>
  <w:num w:numId="24">
    <w:abstractNumId w:val="26"/>
  </w:num>
  <w:num w:numId="25">
    <w:abstractNumId w:val="28"/>
  </w:num>
  <w:num w:numId="26">
    <w:abstractNumId w:val="30"/>
  </w:num>
  <w:num w:numId="27">
    <w:abstractNumId w:val="29"/>
  </w:num>
  <w:num w:numId="28">
    <w:abstractNumId w:val="22"/>
  </w:num>
  <w:num w:numId="29">
    <w:abstractNumId w:val="17"/>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3D"/>
    <w:rsid w:val="00000CAF"/>
    <w:rsid w:val="00015AC3"/>
    <w:rsid w:val="000208CD"/>
    <w:rsid w:val="000319E4"/>
    <w:rsid w:val="000F6467"/>
    <w:rsid w:val="00133113"/>
    <w:rsid w:val="00135F63"/>
    <w:rsid w:val="00143F74"/>
    <w:rsid w:val="001543D3"/>
    <w:rsid w:val="00197BA9"/>
    <w:rsid w:val="00240233"/>
    <w:rsid w:val="002F014E"/>
    <w:rsid w:val="00332C30"/>
    <w:rsid w:val="003515B5"/>
    <w:rsid w:val="0039622B"/>
    <w:rsid w:val="00454590"/>
    <w:rsid w:val="004F2D6F"/>
    <w:rsid w:val="0050326C"/>
    <w:rsid w:val="00517AA3"/>
    <w:rsid w:val="005813C4"/>
    <w:rsid w:val="005A304D"/>
    <w:rsid w:val="00641C5B"/>
    <w:rsid w:val="00655174"/>
    <w:rsid w:val="00662AB3"/>
    <w:rsid w:val="00695A90"/>
    <w:rsid w:val="006A306D"/>
    <w:rsid w:val="006E23CE"/>
    <w:rsid w:val="006E490D"/>
    <w:rsid w:val="007574F1"/>
    <w:rsid w:val="0079168D"/>
    <w:rsid w:val="00791CA2"/>
    <w:rsid w:val="007C3458"/>
    <w:rsid w:val="007F3363"/>
    <w:rsid w:val="007F7431"/>
    <w:rsid w:val="00804936"/>
    <w:rsid w:val="00821A07"/>
    <w:rsid w:val="00823FA9"/>
    <w:rsid w:val="008273D8"/>
    <w:rsid w:val="00855DA3"/>
    <w:rsid w:val="00864F4B"/>
    <w:rsid w:val="008B1C2E"/>
    <w:rsid w:val="008C7046"/>
    <w:rsid w:val="008D0141"/>
    <w:rsid w:val="008F6759"/>
    <w:rsid w:val="00931FF4"/>
    <w:rsid w:val="00940382"/>
    <w:rsid w:val="00961E57"/>
    <w:rsid w:val="009724B2"/>
    <w:rsid w:val="009C0CE4"/>
    <w:rsid w:val="00A14E3D"/>
    <w:rsid w:val="00A16DF1"/>
    <w:rsid w:val="00A20F68"/>
    <w:rsid w:val="00A22DA6"/>
    <w:rsid w:val="00A46A64"/>
    <w:rsid w:val="00A471FA"/>
    <w:rsid w:val="00A6557C"/>
    <w:rsid w:val="00A66717"/>
    <w:rsid w:val="00AA0E42"/>
    <w:rsid w:val="00AF09F0"/>
    <w:rsid w:val="00AF0C0B"/>
    <w:rsid w:val="00B04153"/>
    <w:rsid w:val="00B04BB5"/>
    <w:rsid w:val="00B603E2"/>
    <w:rsid w:val="00B60CF7"/>
    <w:rsid w:val="00B60DEC"/>
    <w:rsid w:val="00B62FCC"/>
    <w:rsid w:val="00B76543"/>
    <w:rsid w:val="00BA7D9A"/>
    <w:rsid w:val="00BE7951"/>
    <w:rsid w:val="00BF5D26"/>
    <w:rsid w:val="00BF703D"/>
    <w:rsid w:val="00C6395F"/>
    <w:rsid w:val="00C64E34"/>
    <w:rsid w:val="00C67563"/>
    <w:rsid w:val="00CA13C3"/>
    <w:rsid w:val="00CE6E87"/>
    <w:rsid w:val="00D17BD6"/>
    <w:rsid w:val="00D3039B"/>
    <w:rsid w:val="00D56A04"/>
    <w:rsid w:val="00D80F0C"/>
    <w:rsid w:val="00D94089"/>
    <w:rsid w:val="00DC0BED"/>
    <w:rsid w:val="00DE26BF"/>
    <w:rsid w:val="00E14857"/>
    <w:rsid w:val="00E159BF"/>
    <w:rsid w:val="00E20782"/>
    <w:rsid w:val="00E45946"/>
    <w:rsid w:val="00E61466"/>
    <w:rsid w:val="00E83F22"/>
    <w:rsid w:val="00F15085"/>
    <w:rsid w:val="00F17CD6"/>
    <w:rsid w:val="00F3431C"/>
    <w:rsid w:val="00F43168"/>
    <w:rsid w:val="00FC7FD8"/>
    <w:rsid w:val="00FD1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ED01"/>
  <w15:docId w15:val="{583211FB-F221-4C86-8654-A0F757E6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70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F703D"/>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855DA3"/>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703D"/>
    <w:rPr>
      <w:rFonts w:ascii="Times New Roman" w:eastAsia="Times New Roman" w:hAnsi="Times New Roman" w:cs="Times New Roman"/>
      <w:b/>
      <w:bCs/>
      <w:sz w:val="28"/>
      <w:szCs w:val="28"/>
      <w:lang w:eastAsia="it-IT"/>
    </w:rPr>
  </w:style>
  <w:style w:type="paragraph" w:customStyle="1" w:styleId="testo">
    <w:name w:val="testo"/>
    <w:basedOn w:val="Normale"/>
    <w:rsid w:val="00BF703D"/>
    <w:pPr>
      <w:ind w:left="567"/>
      <w:jc w:val="both"/>
    </w:pPr>
  </w:style>
  <w:style w:type="paragraph" w:customStyle="1" w:styleId="articolo">
    <w:name w:val="articolo"/>
    <w:basedOn w:val="Normale"/>
    <w:rsid w:val="00BF703D"/>
    <w:pPr>
      <w:jc w:val="center"/>
    </w:pPr>
  </w:style>
  <w:style w:type="paragraph" w:customStyle="1" w:styleId="BodyText21">
    <w:name w:val="Body Text 21"/>
    <w:basedOn w:val="Normale"/>
    <w:rsid w:val="00BF703D"/>
    <w:pPr>
      <w:widowControl w:val="0"/>
      <w:jc w:val="both"/>
    </w:pPr>
    <w:rPr>
      <w:b/>
      <w:bCs/>
      <w:lang w:val="en-US"/>
    </w:rPr>
  </w:style>
  <w:style w:type="paragraph" w:styleId="Intestazione">
    <w:name w:val="header"/>
    <w:basedOn w:val="Normale"/>
    <w:link w:val="IntestazioneCarattere"/>
    <w:uiPriority w:val="99"/>
    <w:unhideWhenUsed/>
    <w:rsid w:val="00E159BF"/>
    <w:pPr>
      <w:tabs>
        <w:tab w:val="center" w:pos="4819"/>
        <w:tab w:val="right" w:pos="9638"/>
      </w:tabs>
    </w:pPr>
  </w:style>
  <w:style w:type="character" w:customStyle="1" w:styleId="IntestazioneCarattere">
    <w:name w:val="Intestazione Carattere"/>
    <w:basedOn w:val="Carpredefinitoparagrafo"/>
    <w:link w:val="Intestazione"/>
    <w:uiPriority w:val="99"/>
    <w:rsid w:val="00E15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59BF"/>
    <w:pPr>
      <w:tabs>
        <w:tab w:val="center" w:pos="4819"/>
        <w:tab w:val="right" w:pos="9638"/>
      </w:tabs>
    </w:pPr>
  </w:style>
  <w:style w:type="character" w:customStyle="1" w:styleId="PidipaginaCarattere">
    <w:name w:val="Piè di pagina Carattere"/>
    <w:basedOn w:val="Carpredefinitoparagrafo"/>
    <w:link w:val="Pidipagina"/>
    <w:uiPriority w:val="99"/>
    <w:rsid w:val="00E159BF"/>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855DA3"/>
    <w:rPr>
      <w:rFonts w:asciiTheme="majorHAnsi" w:eastAsiaTheme="majorEastAsia" w:hAnsiTheme="majorHAnsi" w:cstheme="majorBidi"/>
      <w:b/>
      <w:bCs/>
      <w:color w:val="4F81BD" w:themeColor="accent1"/>
      <w:sz w:val="26"/>
      <w:szCs w:val="26"/>
    </w:rPr>
  </w:style>
  <w:style w:type="numbering" w:customStyle="1" w:styleId="Nessunelenco1">
    <w:name w:val="Nessun elenco1"/>
    <w:next w:val="Nessunelenco"/>
    <w:uiPriority w:val="99"/>
    <w:semiHidden/>
    <w:unhideWhenUsed/>
    <w:rsid w:val="00855DA3"/>
  </w:style>
  <w:style w:type="paragraph" w:styleId="Paragrafoelenco">
    <w:name w:val="List Paragraph"/>
    <w:basedOn w:val="Normale"/>
    <w:uiPriority w:val="34"/>
    <w:qFormat/>
    <w:rsid w:val="00855DA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855DA3"/>
    <w:rPr>
      <w:vertAlign w:val="superscript"/>
    </w:rPr>
  </w:style>
  <w:style w:type="paragraph" w:styleId="Testonotaapidipagina">
    <w:name w:val="footnote text"/>
    <w:basedOn w:val="Normale"/>
    <w:link w:val="TestonotaapidipaginaCarattere"/>
    <w:semiHidden/>
    <w:rsid w:val="00855DA3"/>
  </w:style>
  <w:style w:type="character" w:customStyle="1" w:styleId="TestonotaapidipaginaCarattere">
    <w:name w:val="Testo nota a piè di pagina Carattere"/>
    <w:basedOn w:val="Carpredefinitoparagrafo"/>
    <w:link w:val="Testonotaapidipagina"/>
    <w:semiHidden/>
    <w:rsid w:val="00855DA3"/>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791CA2"/>
  </w:style>
  <w:style w:type="paragraph" w:styleId="Testofumetto">
    <w:name w:val="Balloon Text"/>
    <w:basedOn w:val="Normale"/>
    <w:link w:val="TestofumettoCarattere"/>
    <w:uiPriority w:val="99"/>
    <w:semiHidden/>
    <w:unhideWhenUsed/>
    <w:rsid w:val="00015A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AC3"/>
    <w:rPr>
      <w:rFonts w:ascii="Tahoma" w:eastAsia="Times New Roman" w:hAnsi="Tahoma" w:cs="Tahoma"/>
      <w:sz w:val="16"/>
      <w:szCs w:val="16"/>
      <w:lang w:eastAsia="it-IT"/>
    </w:rPr>
  </w:style>
  <w:style w:type="character" w:styleId="Collegamentoipertestuale">
    <w:name w:val="Hyperlink"/>
    <w:rsid w:val="00CE6E87"/>
    <w:rPr>
      <w:color w:val="0000FF"/>
      <w:u w:val="single"/>
    </w:rPr>
  </w:style>
  <w:style w:type="paragraph" w:customStyle="1" w:styleId="Default">
    <w:name w:val="Default"/>
    <w:rsid w:val="00CE6E87"/>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ic83400x@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capriate.edu.it" TargetMode="External"/><Relationship Id="rId4" Type="http://schemas.openxmlformats.org/officeDocument/2006/relationships/webSettings" Target="webSettings.xml"/><Relationship Id="rId9" Type="http://schemas.openxmlformats.org/officeDocument/2006/relationships/hyperlink" Target="mailto:bgic83400x@istruzione.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4154</Words>
  <Characters>23684</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Assistente03</cp:lastModifiedBy>
  <cp:revision>3</cp:revision>
  <cp:lastPrinted>2016-04-08T10:02:00Z</cp:lastPrinted>
  <dcterms:created xsi:type="dcterms:W3CDTF">2021-03-10T09:04:00Z</dcterms:created>
  <dcterms:modified xsi:type="dcterms:W3CDTF">2021-03-25T13:31:00Z</dcterms:modified>
</cp:coreProperties>
</file>